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0B805" w14:textId="219E49B4" w:rsidR="001B4023" w:rsidRPr="001B4023" w:rsidRDefault="001B4023" w:rsidP="00A14826">
      <w:pPr>
        <w:pStyle w:val="NormalWeb"/>
        <w:spacing w:before="0" w:beforeAutospacing="0" w:after="0" w:afterAutospacing="0"/>
        <w:jc w:val="both"/>
        <w:rPr>
          <w:rStyle w:val="Fuerte"/>
          <w:rFonts w:ascii="Arial" w:eastAsiaTheme="majorEastAsia" w:hAnsi="Arial" w:cs="Arial"/>
        </w:rPr>
      </w:pPr>
      <w:r w:rsidRPr="001B4023">
        <w:rPr>
          <w:rStyle w:val="Fuerte"/>
          <w:rFonts w:ascii="Arial" w:eastAsiaTheme="majorEastAsia" w:hAnsi="Arial" w:cs="Arial"/>
        </w:rPr>
        <w:t>PROYECCION RESPUESTA NEXURA</w:t>
      </w:r>
    </w:p>
    <w:p w14:paraId="32D03611" w14:textId="77777777" w:rsidR="001B4023" w:rsidRDefault="001B4023" w:rsidP="00A14826">
      <w:pPr>
        <w:pStyle w:val="NormalWeb"/>
        <w:spacing w:before="0" w:beforeAutospacing="0" w:after="0" w:afterAutospacing="0"/>
        <w:jc w:val="both"/>
        <w:rPr>
          <w:rStyle w:val="Fuerte"/>
          <w:rFonts w:ascii="Arial" w:eastAsiaTheme="majorEastAsia" w:hAnsi="Arial" w:cs="Arial"/>
          <w:b w:val="0"/>
          <w:bCs w:val="0"/>
        </w:rPr>
      </w:pPr>
    </w:p>
    <w:p w14:paraId="67D1BF54" w14:textId="0EF04693" w:rsidR="00A14826" w:rsidRDefault="00A14826" w:rsidP="00A14826">
      <w:pPr>
        <w:pStyle w:val="NormalWeb"/>
        <w:spacing w:before="0" w:beforeAutospacing="0" w:after="0" w:afterAutospacing="0"/>
        <w:jc w:val="both"/>
        <w:rPr>
          <w:rFonts w:ascii="Arial" w:hAnsi="Arial" w:cs="Arial"/>
        </w:rPr>
      </w:pPr>
      <w:r w:rsidRPr="00A14826">
        <w:rPr>
          <w:rStyle w:val="Fuerte"/>
          <w:rFonts w:ascii="Arial" w:eastAsiaTheme="majorEastAsia" w:hAnsi="Arial" w:cs="Arial"/>
          <w:b w:val="0"/>
          <w:bCs w:val="0"/>
        </w:rPr>
        <w:t>En atención a la comunicación con radicado No. SNR2026ER-011068-2 del 20 de enero de 2026</w:t>
      </w:r>
      <w:r w:rsidRPr="00A14826">
        <w:rPr>
          <w:rFonts w:ascii="Arial" w:hAnsi="Arial" w:cs="Arial"/>
        </w:rPr>
        <w:t xml:space="preserve">, mediante la cual </w:t>
      </w:r>
      <w:proofErr w:type="spellStart"/>
      <w:r w:rsidRPr="00A14826">
        <w:rPr>
          <w:rFonts w:ascii="Arial" w:hAnsi="Arial" w:cs="Arial"/>
        </w:rPr>
        <w:t>Nexura</w:t>
      </w:r>
      <w:proofErr w:type="spellEnd"/>
      <w:r w:rsidRPr="00A14826">
        <w:rPr>
          <w:rFonts w:ascii="Arial" w:hAnsi="Arial" w:cs="Arial"/>
        </w:rPr>
        <w:t xml:space="preserve"> Internacional S.A.S</w:t>
      </w:r>
      <w:r>
        <w:rPr>
          <w:rFonts w:ascii="Arial" w:hAnsi="Arial" w:cs="Arial"/>
        </w:rPr>
        <w:t xml:space="preserve"> (En adelante -</w:t>
      </w:r>
      <w:proofErr w:type="spellStart"/>
      <w:r>
        <w:rPr>
          <w:rFonts w:ascii="Arial" w:hAnsi="Arial" w:cs="Arial"/>
        </w:rPr>
        <w:t>Nexura</w:t>
      </w:r>
      <w:proofErr w:type="spellEnd"/>
      <w:r>
        <w:rPr>
          <w:rFonts w:ascii="Arial" w:hAnsi="Arial" w:cs="Arial"/>
        </w:rPr>
        <w:t>-)</w:t>
      </w:r>
      <w:r w:rsidRPr="00A14826">
        <w:rPr>
          <w:rFonts w:ascii="Arial" w:hAnsi="Arial" w:cs="Arial"/>
        </w:rPr>
        <w:t xml:space="preserve">. solicita el restablecimiento del equilibrio económico del Contrato de Prestación de Servicios No. 2063 de 2024, y teniendo en cuenta la solicitud del contratista, el informe técnico de presunto incumplimiento emitido por la supervisión y las actuaciones registradas en SECOP II, la Coordinación del Grupo de Gestión Documental de la Superintendencia de Notariado y Registro </w:t>
      </w:r>
      <w:r>
        <w:rPr>
          <w:rFonts w:ascii="Arial" w:hAnsi="Arial" w:cs="Arial"/>
        </w:rPr>
        <w:t>(En adelante -SNR-)</w:t>
      </w:r>
      <w:r w:rsidRPr="00A14826">
        <w:rPr>
          <w:rFonts w:ascii="Arial" w:hAnsi="Arial" w:cs="Arial"/>
        </w:rPr>
        <w:t xml:space="preserve"> emite respuesta en el marco de la ejecución contractual.</w:t>
      </w:r>
    </w:p>
    <w:p w14:paraId="476ECFD0" w14:textId="77777777" w:rsidR="00A14826" w:rsidRPr="00A14826" w:rsidRDefault="00A14826" w:rsidP="00A14826">
      <w:pPr>
        <w:pStyle w:val="NormalWeb"/>
        <w:spacing w:before="0" w:beforeAutospacing="0" w:after="0" w:afterAutospacing="0"/>
        <w:jc w:val="both"/>
        <w:rPr>
          <w:rFonts w:ascii="Arial" w:hAnsi="Arial" w:cs="Arial"/>
        </w:rPr>
      </w:pPr>
    </w:p>
    <w:p w14:paraId="74A5F4A8" w14:textId="77777777" w:rsidR="00A14826" w:rsidRPr="00A14826" w:rsidRDefault="00A14826" w:rsidP="00A14826">
      <w:pPr>
        <w:pStyle w:val="NormalWeb"/>
        <w:spacing w:before="0" w:beforeAutospacing="0" w:after="0" w:afterAutospacing="0"/>
        <w:jc w:val="both"/>
        <w:rPr>
          <w:rFonts w:ascii="Arial" w:hAnsi="Arial" w:cs="Arial"/>
        </w:rPr>
      </w:pPr>
      <w:r w:rsidRPr="00A14826">
        <w:rPr>
          <w:rFonts w:ascii="Arial" w:hAnsi="Arial" w:cs="Arial"/>
        </w:rPr>
        <w:t>A continuación, se da respuesta a cada uno de los planteamientos expuestos por el contratista:</w:t>
      </w:r>
    </w:p>
    <w:p w14:paraId="3AE14AA4" w14:textId="77777777" w:rsidR="00A14826" w:rsidRPr="00A14826" w:rsidRDefault="00A14826" w:rsidP="00A14826">
      <w:pPr>
        <w:pStyle w:val="NormalWeb"/>
        <w:spacing w:before="0" w:beforeAutospacing="0" w:after="0" w:afterAutospacing="0"/>
        <w:jc w:val="both"/>
        <w:rPr>
          <w:rFonts w:ascii="Arial" w:hAnsi="Arial" w:cs="Arial"/>
        </w:rPr>
      </w:pPr>
    </w:p>
    <w:p w14:paraId="335C1DCB" w14:textId="1C27F5ED" w:rsidR="00A14826" w:rsidRDefault="00A14826" w:rsidP="00A92190">
      <w:pPr>
        <w:pStyle w:val="p1"/>
        <w:numPr>
          <w:ilvl w:val="0"/>
          <w:numId w:val="10"/>
        </w:numPr>
        <w:spacing w:before="0" w:beforeAutospacing="0" w:after="0" w:afterAutospacing="0"/>
        <w:ind w:left="426" w:hanging="426"/>
        <w:jc w:val="both"/>
        <w:rPr>
          <w:rFonts w:ascii="Arial" w:hAnsi="Arial" w:cs="Arial"/>
          <w:b/>
          <w:bCs/>
          <w:i/>
          <w:iCs/>
          <w:u w:val="single"/>
        </w:rPr>
      </w:pPr>
      <w:r w:rsidRPr="00A14826">
        <w:rPr>
          <w:rFonts w:ascii="Arial" w:hAnsi="Arial" w:cs="Arial"/>
          <w:b/>
          <w:bCs/>
          <w:i/>
          <w:iCs/>
          <w:u w:val="single"/>
        </w:rPr>
        <w:t>CONSIDERACIONES CONTRACTUALES Y DE EJECUCIÓN</w:t>
      </w:r>
    </w:p>
    <w:p w14:paraId="71EC9549" w14:textId="77777777" w:rsidR="00A14826" w:rsidRPr="00A14826" w:rsidRDefault="00A14826" w:rsidP="00A14826">
      <w:pPr>
        <w:pStyle w:val="p1"/>
        <w:spacing w:before="0" w:beforeAutospacing="0" w:after="0" w:afterAutospacing="0"/>
        <w:ind w:left="360"/>
        <w:jc w:val="both"/>
        <w:rPr>
          <w:rFonts w:ascii="Arial" w:hAnsi="Arial" w:cs="Arial"/>
          <w:b/>
          <w:bCs/>
          <w:i/>
          <w:iCs/>
          <w:u w:val="single"/>
        </w:rPr>
      </w:pPr>
    </w:p>
    <w:p w14:paraId="5BD6AF64" w14:textId="77777777" w:rsidR="00F0720B" w:rsidRDefault="007C3D75" w:rsidP="00F0720B">
      <w:pPr>
        <w:pStyle w:val="p1"/>
        <w:spacing w:before="0" w:beforeAutospacing="0" w:after="0" w:afterAutospacing="0"/>
        <w:jc w:val="both"/>
        <w:rPr>
          <w:rFonts w:ascii="Arial" w:hAnsi="Arial" w:cs="Arial"/>
        </w:rPr>
      </w:pPr>
      <w:r w:rsidRPr="00A14826">
        <w:rPr>
          <w:rFonts w:ascii="Arial" w:hAnsi="Arial" w:cs="Arial"/>
        </w:rPr>
        <w:t xml:space="preserve">En respuesta la SNR, </w:t>
      </w:r>
      <w:r w:rsidR="00AE7B95" w:rsidRPr="00A14826">
        <w:rPr>
          <w:rFonts w:ascii="Arial" w:hAnsi="Arial" w:cs="Arial"/>
        </w:rPr>
        <w:t xml:space="preserve">confirma que el proceso de selección adelantado mediante la Licitación Pública No. 007 de 2024, como la suscripción del Contrato de Prestación de Servicios No. 2063 de 2024 a </w:t>
      </w:r>
      <w:proofErr w:type="spellStart"/>
      <w:r w:rsidR="00AE7B95" w:rsidRPr="00A14826">
        <w:rPr>
          <w:rFonts w:ascii="Arial" w:hAnsi="Arial" w:cs="Arial"/>
        </w:rPr>
        <w:t>Nexura</w:t>
      </w:r>
      <w:proofErr w:type="spellEnd"/>
      <w:r w:rsidR="00AE7B95" w:rsidRPr="00A14826">
        <w:rPr>
          <w:rFonts w:ascii="Arial" w:hAnsi="Arial" w:cs="Arial"/>
        </w:rPr>
        <w:t xml:space="preserve"> de la Agrupación No. 2, cuyo valor y plazo inicial de ejecución corresponden a los establecidos en los documentos del proceso precontractual, fueron</w:t>
      </w:r>
      <w:r w:rsidR="00AE7B95" w:rsidRPr="00AE7B95">
        <w:rPr>
          <w:rFonts w:ascii="Arial" w:hAnsi="Arial" w:cs="Arial"/>
        </w:rPr>
        <w:t xml:space="preserve"> plenamente conocidos y aceptados de manera integral por el contratista desde las etapas precontractual y contractual.</w:t>
      </w:r>
      <w:r w:rsidR="00AE7B95">
        <w:rPr>
          <w:rFonts w:ascii="Arial" w:hAnsi="Arial" w:cs="Arial"/>
        </w:rPr>
        <w:t xml:space="preserve"> </w:t>
      </w:r>
      <w:r w:rsidR="00AE7B95" w:rsidRPr="00AE7B95">
        <w:rPr>
          <w:rFonts w:ascii="Arial" w:hAnsi="Arial" w:cs="Arial"/>
        </w:rPr>
        <w:t xml:space="preserve">En consecuencia, la ejecución del contrato se ha desarrollado conforme a los documentos del proceso, el pliego de condiciones, el anexo técnico y la propuesta presentada por el propio contratista. En este sentido, no existe controversia respecto del objeto contractual, la cantidad de metros lineales a intervenir (235 ML), el alcance técnico definido ni las condiciones económicas y temporales inicialmente pactadas, las cuales fueron aceptadas por </w:t>
      </w:r>
      <w:proofErr w:type="spellStart"/>
      <w:r w:rsidR="00AE7B95" w:rsidRPr="00AE7B95">
        <w:rPr>
          <w:rFonts w:ascii="Arial" w:hAnsi="Arial" w:cs="Arial"/>
        </w:rPr>
        <w:t>Nexura</w:t>
      </w:r>
      <w:proofErr w:type="spellEnd"/>
      <w:r w:rsidR="00AE7B95" w:rsidRPr="00AE7B95">
        <w:rPr>
          <w:rFonts w:ascii="Arial" w:hAnsi="Arial" w:cs="Arial"/>
        </w:rPr>
        <w:t>. al presentar su oferta y suscribir el contrato.</w:t>
      </w:r>
      <w:r w:rsidR="00AE7B95">
        <w:rPr>
          <w:rFonts w:ascii="Arial" w:hAnsi="Arial" w:cs="Arial"/>
        </w:rPr>
        <w:t xml:space="preserve"> </w:t>
      </w:r>
    </w:p>
    <w:p w14:paraId="4542BF6D" w14:textId="77777777" w:rsidR="00F0720B" w:rsidRDefault="00F0720B" w:rsidP="00F0720B">
      <w:pPr>
        <w:pStyle w:val="p1"/>
        <w:spacing w:before="0" w:beforeAutospacing="0" w:after="0" w:afterAutospacing="0"/>
        <w:jc w:val="both"/>
        <w:rPr>
          <w:rFonts w:ascii="Arial" w:hAnsi="Arial" w:cs="Arial"/>
        </w:rPr>
      </w:pPr>
    </w:p>
    <w:p w14:paraId="60AB7C85" w14:textId="42FB331D" w:rsidR="00F0720B" w:rsidRPr="00F0720B" w:rsidRDefault="00F0720B" w:rsidP="00F0720B">
      <w:pPr>
        <w:pStyle w:val="p1"/>
        <w:spacing w:before="0" w:beforeAutospacing="0" w:after="0" w:afterAutospacing="0"/>
        <w:jc w:val="both"/>
        <w:rPr>
          <w:rFonts w:ascii="Arial" w:hAnsi="Arial" w:cs="Arial"/>
        </w:rPr>
      </w:pPr>
      <w:r w:rsidRPr="00F0720B">
        <w:rPr>
          <w:rFonts w:ascii="Arial" w:hAnsi="Arial" w:cs="Arial"/>
        </w:rPr>
        <w:t>No se acepta la afirmación según la cual las 4 prórrogas suscritas</w:t>
      </w:r>
      <w:r>
        <w:rPr>
          <w:rFonts w:ascii="Arial" w:hAnsi="Arial" w:cs="Arial"/>
        </w:rPr>
        <w:t xml:space="preserve"> </w:t>
      </w:r>
      <w:proofErr w:type="spellStart"/>
      <w:r>
        <w:rPr>
          <w:rFonts w:ascii="Arial" w:hAnsi="Arial" w:cs="Arial"/>
        </w:rPr>
        <w:t>durantea</w:t>
      </w:r>
      <w:proofErr w:type="spellEnd"/>
      <w:r>
        <w:rPr>
          <w:rFonts w:ascii="Arial" w:hAnsi="Arial" w:cs="Arial"/>
        </w:rPr>
        <w:t xml:space="preserve"> la ejecución del contrato</w:t>
      </w:r>
      <w:r w:rsidRPr="00F0720B">
        <w:rPr>
          <w:rFonts w:ascii="Arial" w:hAnsi="Arial" w:cs="Arial"/>
        </w:rPr>
        <w:t xml:space="preserve"> no obedecieron a causas imputables al contratista ni que hayan sido consecuencia exclusiva de hechos ajenos a su gestión. Por el contrario, los informes técnicos de ejecución mensual presentados por la supervisión y publicados en la plataforma SECOP, así como las 2 actas de seguimiento preventivo lideradas por el área de contratos de la entidad</w:t>
      </w:r>
      <w:r>
        <w:rPr>
          <w:rFonts w:ascii="Arial" w:hAnsi="Arial" w:cs="Arial"/>
        </w:rPr>
        <w:t xml:space="preserve"> (</w:t>
      </w:r>
      <w:r w:rsidRPr="00F0720B">
        <w:rPr>
          <w:rFonts w:ascii="Arial" w:hAnsi="Arial" w:cs="Arial"/>
        </w:rPr>
        <w:t>las cuales fu</w:t>
      </w:r>
      <w:r w:rsidR="00EF28C2">
        <w:rPr>
          <w:rFonts w:ascii="Arial" w:hAnsi="Arial" w:cs="Arial"/>
        </w:rPr>
        <w:t>ro</w:t>
      </w:r>
      <w:r w:rsidRPr="00F0720B">
        <w:rPr>
          <w:rFonts w:ascii="Arial" w:hAnsi="Arial" w:cs="Arial"/>
        </w:rPr>
        <w:t xml:space="preserve"> citado el contratista por solicitud de la supervisión debido al incumplimiento de los requerimientos técnicos del contrato</w:t>
      </w:r>
      <w:r>
        <w:rPr>
          <w:rFonts w:ascii="Arial" w:hAnsi="Arial" w:cs="Arial"/>
        </w:rPr>
        <w:t>)</w:t>
      </w:r>
      <w:r w:rsidRPr="00F0720B">
        <w:rPr>
          <w:rFonts w:ascii="Arial" w:hAnsi="Arial" w:cs="Arial"/>
        </w:rPr>
        <w:t>, las actas de seguimiento elaboradas y suscritas por el contratista y la supervisión, en las que se notificaron y reiteraron los incumplimientos en los diferentes aspectos de la ejecución, y las mesas técnicas desarrolladas durante el contrato, solicitadas por el propio contratista, en las que se brind</w:t>
      </w:r>
      <w:r w:rsidR="00EF28C2">
        <w:rPr>
          <w:rFonts w:ascii="Arial" w:hAnsi="Arial" w:cs="Arial"/>
        </w:rPr>
        <w:t>aba</w:t>
      </w:r>
      <w:r w:rsidRPr="00F0720B">
        <w:rPr>
          <w:rFonts w:ascii="Arial" w:hAnsi="Arial" w:cs="Arial"/>
        </w:rPr>
        <w:t xml:space="preserve"> claridad de manera reiterada sobre aspectos técnicos y operativos, así como las solicitudes de prórroga presentadas directamente por el contratista, en las cuales este atribuye dichas ampliaciones al incumplimiento de los tiempos por él mismo planteados para el desarrollo de las actividades técnicas</w:t>
      </w:r>
      <w:r>
        <w:rPr>
          <w:rFonts w:ascii="Arial" w:hAnsi="Arial" w:cs="Arial"/>
        </w:rPr>
        <w:t xml:space="preserve">, </w:t>
      </w:r>
      <w:r w:rsidRPr="00F0720B">
        <w:rPr>
          <w:rFonts w:ascii="Arial" w:hAnsi="Arial" w:cs="Arial"/>
        </w:rPr>
        <w:t>evidencian que dichas prórrogas estuvieron precedidas de incumplimientos contractuales reiterados, oportunamente advertidos y debidamente documentados por la supervisión.</w:t>
      </w:r>
    </w:p>
    <w:p w14:paraId="076AEF47" w14:textId="3A026BD5" w:rsidR="00FA125C" w:rsidRDefault="00FA125C" w:rsidP="00AA708D">
      <w:pPr>
        <w:pStyle w:val="p1"/>
        <w:numPr>
          <w:ilvl w:val="0"/>
          <w:numId w:val="2"/>
        </w:numPr>
        <w:jc w:val="both"/>
        <w:rPr>
          <w:rFonts w:ascii="Arial" w:hAnsi="Arial" w:cs="Arial"/>
        </w:rPr>
      </w:pPr>
      <w:r w:rsidRPr="00FA125C">
        <w:rPr>
          <w:rFonts w:ascii="Arial" w:hAnsi="Arial" w:cs="Arial"/>
        </w:rPr>
        <w:lastRenderedPageBreak/>
        <w:t>Retraso en la entrega de pólizas de garantía, generando aplazamiento en la suscripción del acta de inicio del contrato.</w:t>
      </w:r>
    </w:p>
    <w:p w14:paraId="41883713" w14:textId="1DE8AE1A" w:rsidR="00FA125C" w:rsidRPr="00FA125C" w:rsidRDefault="00FA125C" w:rsidP="00FA125C">
      <w:pPr>
        <w:pStyle w:val="p1"/>
        <w:numPr>
          <w:ilvl w:val="0"/>
          <w:numId w:val="2"/>
        </w:numPr>
        <w:jc w:val="both"/>
        <w:rPr>
          <w:rFonts w:ascii="Arial" w:hAnsi="Arial" w:cs="Arial"/>
        </w:rPr>
      </w:pPr>
      <w:r w:rsidRPr="00AA708D">
        <w:rPr>
          <w:rFonts w:ascii="Arial" w:hAnsi="Arial" w:cs="Arial"/>
        </w:rPr>
        <w:t xml:space="preserve">Incumplimientos reiterados de los planes de trabajo y cronogramas presentados por </w:t>
      </w:r>
      <w:proofErr w:type="spellStart"/>
      <w:r w:rsidRPr="00AA708D">
        <w:rPr>
          <w:rFonts w:ascii="Arial" w:hAnsi="Arial" w:cs="Arial"/>
        </w:rPr>
        <w:t>Nexura</w:t>
      </w:r>
      <w:proofErr w:type="spellEnd"/>
      <w:r w:rsidRPr="00AA708D">
        <w:rPr>
          <w:rFonts w:ascii="Arial" w:hAnsi="Arial" w:cs="Arial"/>
        </w:rPr>
        <w:t>.</w:t>
      </w:r>
    </w:p>
    <w:p w14:paraId="4F21E162" w14:textId="61D7B3AA" w:rsidR="00FA125C" w:rsidRPr="00FA125C" w:rsidRDefault="00FA125C" w:rsidP="00FA125C">
      <w:pPr>
        <w:pStyle w:val="isselectedend"/>
        <w:numPr>
          <w:ilvl w:val="0"/>
          <w:numId w:val="2"/>
        </w:numPr>
        <w:jc w:val="both"/>
        <w:rPr>
          <w:rFonts w:ascii="Arial" w:hAnsi="Arial" w:cs="Arial"/>
          <w:lang w:val="es-ES" w:eastAsia="es-ES_tradnl"/>
        </w:rPr>
      </w:pPr>
      <w:r w:rsidRPr="00FA125C">
        <w:rPr>
          <w:rFonts w:ascii="Arial" w:hAnsi="Arial" w:cs="Arial"/>
          <w:lang w:val="es-ES" w:eastAsia="es-ES_tradnl"/>
        </w:rPr>
        <w:t xml:space="preserve">Retrasos injustificados en las actividades de alistamiento, traslado y actividades técnicas </w:t>
      </w:r>
      <w:r w:rsidR="00A92190">
        <w:rPr>
          <w:rFonts w:ascii="Arial" w:hAnsi="Arial" w:cs="Arial"/>
          <w:lang w:val="es-ES" w:eastAsia="es-ES_tradnl"/>
        </w:rPr>
        <w:t>intervención de</w:t>
      </w:r>
      <w:r w:rsidRPr="00FA125C">
        <w:rPr>
          <w:rFonts w:ascii="Arial" w:hAnsi="Arial" w:cs="Arial"/>
          <w:lang w:val="es-ES" w:eastAsia="es-ES_tradnl"/>
        </w:rPr>
        <w:t xml:space="preserve"> las ORIP de intervención, afectando el trabajo simultáneo con la SNR y generando costos adicionales por extensión de comisiones del personal institucional.</w:t>
      </w:r>
    </w:p>
    <w:p w14:paraId="3E2A3F34" w14:textId="71C9FB48" w:rsidR="00FA125C" w:rsidRPr="00FA125C" w:rsidRDefault="00FA125C" w:rsidP="00FA125C">
      <w:pPr>
        <w:pStyle w:val="p1"/>
        <w:numPr>
          <w:ilvl w:val="0"/>
          <w:numId w:val="2"/>
        </w:numPr>
        <w:jc w:val="both"/>
        <w:rPr>
          <w:rFonts w:ascii="Arial" w:hAnsi="Arial" w:cs="Arial"/>
        </w:rPr>
      </w:pPr>
      <w:r w:rsidRPr="00FA125C">
        <w:rPr>
          <w:rFonts w:ascii="Arial" w:hAnsi="Arial" w:cs="Arial"/>
        </w:rPr>
        <w:t>Ausencia de recurso humano suficiente en sitio para la ejecución simultánea del alistamiento documental.</w:t>
      </w:r>
    </w:p>
    <w:p w14:paraId="3AA11253" w14:textId="6251387A" w:rsidR="00FA125C" w:rsidRDefault="00FA125C" w:rsidP="00FA125C">
      <w:pPr>
        <w:pStyle w:val="p1"/>
        <w:spacing w:before="0" w:beforeAutospacing="0" w:after="0" w:afterAutospacing="0"/>
        <w:jc w:val="both"/>
        <w:rPr>
          <w:rFonts w:ascii="Arial" w:hAnsi="Arial" w:cs="Arial"/>
          <w:lang w:val="es-CO"/>
        </w:rPr>
      </w:pPr>
      <w:r w:rsidRPr="00FA125C">
        <w:rPr>
          <w:rFonts w:ascii="Arial" w:hAnsi="Arial" w:cs="Arial"/>
          <w:lang w:val="es-CO"/>
        </w:rPr>
        <w:t xml:space="preserve">Adicionalmente, durante la ejecución técnica se evidenciaron presuntos incumplimientos en los procesos de </w:t>
      </w:r>
      <w:r>
        <w:rPr>
          <w:rFonts w:ascii="Arial" w:hAnsi="Arial" w:cs="Arial"/>
          <w:lang w:val="es-CO"/>
        </w:rPr>
        <w:t>técnicos</w:t>
      </w:r>
      <w:r w:rsidRPr="00FA125C">
        <w:rPr>
          <w:rFonts w:ascii="Arial" w:hAnsi="Arial" w:cs="Arial"/>
          <w:lang w:val="es-CO"/>
        </w:rPr>
        <w:t>, tales como:</w:t>
      </w:r>
    </w:p>
    <w:p w14:paraId="0631D58F" w14:textId="77777777" w:rsidR="00FA125C" w:rsidRPr="00FA125C" w:rsidRDefault="00FA125C" w:rsidP="00FA125C">
      <w:pPr>
        <w:pStyle w:val="p1"/>
        <w:spacing w:before="0" w:beforeAutospacing="0" w:after="0" w:afterAutospacing="0"/>
        <w:jc w:val="both"/>
        <w:rPr>
          <w:rFonts w:ascii="Arial" w:hAnsi="Arial" w:cs="Arial"/>
          <w:lang w:val="es-CO"/>
        </w:rPr>
      </w:pPr>
    </w:p>
    <w:p w14:paraId="5048C814" w14:textId="77777777" w:rsidR="00FA125C" w:rsidRPr="00FA125C" w:rsidRDefault="00FA125C" w:rsidP="00FA125C">
      <w:pPr>
        <w:pStyle w:val="p1"/>
        <w:numPr>
          <w:ilvl w:val="0"/>
          <w:numId w:val="11"/>
        </w:numPr>
        <w:spacing w:before="0" w:beforeAutospacing="0" w:after="0" w:afterAutospacing="0"/>
        <w:jc w:val="both"/>
        <w:rPr>
          <w:rFonts w:ascii="Arial" w:hAnsi="Arial" w:cs="Arial"/>
          <w:lang w:val="es-CO"/>
        </w:rPr>
      </w:pPr>
      <w:r w:rsidRPr="00FA125C">
        <w:rPr>
          <w:rFonts w:ascii="Arial" w:hAnsi="Arial" w:cs="Arial"/>
          <w:lang w:val="es-CO"/>
        </w:rPr>
        <w:t>Bajo porcentaje de avance real frente a lo programado: al cierre de noviembre de 2024 solo se aprobó el 20,43% de la organización documental frente al 100% proyectado.</w:t>
      </w:r>
    </w:p>
    <w:p w14:paraId="13307D83" w14:textId="77777777" w:rsidR="00FA125C" w:rsidRPr="00FA125C" w:rsidRDefault="00FA125C" w:rsidP="00FA125C">
      <w:pPr>
        <w:pStyle w:val="p1"/>
        <w:numPr>
          <w:ilvl w:val="0"/>
          <w:numId w:val="11"/>
        </w:numPr>
        <w:spacing w:before="0" w:beforeAutospacing="0" w:after="0" w:afterAutospacing="0"/>
        <w:jc w:val="both"/>
        <w:rPr>
          <w:rFonts w:ascii="Arial" w:hAnsi="Arial" w:cs="Arial"/>
          <w:lang w:val="es-CO"/>
        </w:rPr>
      </w:pPr>
      <w:r w:rsidRPr="00FA125C">
        <w:rPr>
          <w:rFonts w:ascii="Arial" w:hAnsi="Arial" w:cs="Arial"/>
          <w:lang w:val="es-CO"/>
        </w:rPr>
        <w:t>Entrega de lotes con inconsistencias en ordenación, foliación, hojas de control y primeros auxilios, generando rechazos y reprocesos.</w:t>
      </w:r>
    </w:p>
    <w:p w14:paraId="464BC0B0" w14:textId="77777777" w:rsidR="00FA125C" w:rsidRDefault="00FA125C" w:rsidP="00FA125C">
      <w:pPr>
        <w:pStyle w:val="p1"/>
        <w:numPr>
          <w:ilvl w:val="0"/>
          <w:numId w:val="11"/>
        </w:numPr>
        <w:spacing w:before="0" w:beforeAutospacing="0" w:after="0" w:afterAutospacing="0"/>
        <w:jc w:val="both"/>
        <w:rPr>
          <w:rFonts w:ascii="Arial" w:hAnsi="Arial" w:cs="Arial"/>
          <w:lang w:val="es-CO"/>
        </w:rPr>
      </w:pPr>
      <w:r w:rsidRPr="00FA125C">
        <w:rPr>
          <w:rFonts w:ascii="Arial" w:hAnsi="Arial" w:cs="Arial"/>
          <w:lang w:val="es-CO"/>
        </w:rPr>
        <w:t>Incumplimiento de los plazos de subsanación establecidos en el Anexo Técnico y los Acuerdos de Nivel de Servicio (ANS).</w:t>
      </w:r>
    </w:p>
    <w:p w14:paraId="48C0B4CB" w14:textId="505A7590" w:rsidR="00FA125C" w:rsidRPr="00A92190" w:rsidRDefault="00A92190" w:rsidP="00FA125C">
      <w:pPr>
        <w:pStyle w:val="p1"/>
        <w:numPr>
          <w:ilvl w:val="0"/>
          <w:numId w:val="11"/>
        </w:numPr>
        <w:jc w:val="both"/>
        <w:rPr>
          <w:rFonts w:ascii="Arial" w:hAnsi="Arial" w:cs="Arial"/>
          <w:lang w:val="es-CO"/>
        </w:rPr>
      </w:pPr>
      <w:r w:rsidRPr="00A92190">
        <w:rPr>
          <w:rFonts w:ascii="Arial" w:hAnsi="Arial" w:cs="Arial"/>
          <w:lang w:val="es-CO"/>
        </w:rPr>
        <w:t>Deficiencias técnicas en los procesos de organización, digitalización, indexación y producto terminado, que derivaron en reprocesos, devoluciones de lotes y nuevas revisiones.</w:t>
      </w:r>
    </w:p>
    <w:p w14:paraId="5318C93F" w14:textId="2F038D22" w:rsidR="00A92190" w:rsidRPr="00A92190" w:rsidRDefault="00A92190" w:rsidP="00A92190">
      <w:pPr>
        <w:pStyle w:val="isselectedend"/>
        <w:numPr>
          <w:ilvl w:val="0"/>
          <w:numId w:val="11"/>
        </w:numPr>
        <w:rPr>
          <w:rFonts w:ascii="Arial" w:hAnsi="Arial" w:cs="Arial"/>
          <w:lang w:eastAsia="es-ES_tradnl"/>
        </w:rPr>
      </w:pPr>
      <w:r w:rsidRPr="00A92190">
        <w:rPr>
          <w:rFonts w:ascii="Arial" w:hAnsi="Arial" w:cs="Arial"/>
          <w:lang w:eastAsia="es-ES_tradnl"/>
        </w:rPr>
        <w:t>No inicio oportuno del proceso de digitalización durante la vigencia inicial del contrato.</w:t>
      </w:r>
    </w:p>
    <w:p w14:paraId="78ED4828" w14:textId="42F05A05" w:rsidR="00A92190" w:rsidRPr="00A92190" w:rsidRDefault="00A92190" w:rsidP="00A92190">
      <w:pPr>
        <w:pStyle w:val="isselectedend"/>
        <w:numPr>
          <w:ilvl w:val="0"/>
          <w:numId w:val="11"/>
        </w:numPr>
        <w:rPr>
          <w:rFonts w:ascii="Arial" w:hAnsi="Arial" w:cs="Arial"/>
          <w:lang w:eastAsia="es-ES_tradnl"/>
        </w:rPr>
      </w:pPr>
      <w:r w:rsidRPr="00A92190">
        <w:rPr>
          <w:rFonts w:ascii="Arial" w:hAnsi="Arial" w:cs="Arial"/>
          <w:lang w:eastAsia="es-ES_tradnl"/>
        </w:rPr>
        <w:t>Falta de presentación de pruebas reales de digitalización en octubre de 2024.</w:t>
      </w:r>
    </w:p>
    <w:p w14:paraId="41F6114E" w14:textId="56CF7019" w:rsidR="00A92190" w:rsidRPr="00A92190" w:rsidRDefault="00A92190" w:rsidP="00A92190">
      <w:pPr>
        <w:pStyle w:val="isselectedend"/>
        <w:numPr>
          <w:ilvl w:val="0"/>
          <w:numId w:val="11"/>
        </w:numPr>
        <w:rPr>
          <w:rFonts w:ascii="Arial" w:hAnsi="Arial" w:cs="Arial"/>
          <w:lang w:eastAsia="es-ES_tradnl"/>
        </w:rPr>
      </w:pPr>
      <w:r w:rsidRPr="00A92190">
        <w:rPr>
          <w:rFonts w:ascii="Arial" w:hAnsi="Arial" w:cs="Arial"/>
          <w:lang w:eastAsia="es-ES_tradnl"/>
        </w:rPr>
        <w:t>Reconocimiento expreso del contratista de no haber iniciado digitalización por ausencia de protocolos internos.</w:t>
      </w:r>
    </w:p>
    <w:p w14:paraId="1802B109" w14:textId="7A7A6AC4" w:rsidR="00A92190" w:rsidRPr="00A92190" w:rsidRDefault="00A92190" w:rsidP="00A92190">
      <w:pPr>
        <w:pStyle w:val="isselectedend"/>
        <w:numPr>
          <w:ilvl w:val="0"/>
          <w:numId w:val="11"/>
        </w:numPr>
        <w:spacing w:before="0" w:beforeAutospacing="0" w:after="0" w:afterAutospacing="0"/>
        <w:rPr>
          <w:rFonts w:ascii="Arial" w:hAnsi="Arial" w:cs="Arial"/>
          <w:lang w:eastAsia="es-ES_tradnl"/>
        </w:rPr>
      </w:pPr>
      <w:r w:rsidRPr="00A92190">
        <w:rPr>
          <w:rFonts w:ascii="Arial" w:hAnsi="Arial" w:cs="Arial"/>
          <w:lang w:eastAsia="es-ES_tradnl"/>
        </w:rPr>
        <w:t>Entrega de pilotos que no cumplieron estándares técnicos: líneas oscuras en imágenes, errores de orientación, fallas en indexación, hojas de control incompletas y ausencia de sellado de archivos PDF.</w:t>
      </w:r>
    </w:p>
    <w:p w14:paraId="3A4E55A0" w14:textId="1615BCA3" w:rsidR="00A92190" w:rsidRPr="00A92190" w:rsidRDefault="00A92190" w:rsidP="00A92190">
      <w:pPr>
        <w:pStyle w:val="isselectedend"/>
        <w:numPr>
          <w:ilvl w:val="0"/>
          <w:numId w:val="11"/>
        </w:numPr>
        <w:spacing w:before="0" w:beforeAutospacing="0" w:after="0" w:afterAutospacing="0"/>
        <w:rPr>
          <w:rFonts w:ascii="Arial" w:hAnsi="Arial" w:cs="Arial"/>
          <w:lang w:eastAsia="es-ES_tradnl"/>
        </w:rPr>
      </w:pPr>
      <w:r w:rsidRPr="00A92190">
        <w:rPr>
          <w:rFonts w:ascii="Arial" w:hAnsi="Arial" w:cs="Arial"/>
          <w:lang w:eastAsia="es-ES_tradnl"/>
        </w:rPr>
        <w:t>Lotes entregados sin FUID, sin hoja de control institucional y con omisiones en matrículas físicas digitalizadas.</w:t>
      </w:r>
    </w:p>
    <w:p w14:paraId="3F6624C9" w14:textId="7861758F" w:rsidR="00A92190" w:rsidRDefault="00A92190" w:rsidP="00A92190">
      <w:pPr>
        <w:pStyle w:val="NormalWeb"/>
        <w:numPr>
          <w:ilvl w:val="0"/>
          <w:numId w:val="11"/>
        </w:numPr>
        <w:spacing w:before="0" w:beforeAutospacing="0" w:after="0" w:afterAutospacing="0"/>
        <w:rPr>
          <w:rFonts w:ascii="Arial" w:hAnsi="Arial" w:cs="Arial"/>
          <w:lang w:eastAsia="es-ES_tradnl"/>
        </w:rPr>
      </w:pPr>
      <w:r w:rsidRPr="00A92190">
        <w:rPr>
          <w:rFonts w:ascii="Arial" w:hAnsi="Arial" w:cs="Arial"/>
          <w:lang w:eastAsia="es-ES_tradnl"/>
        </w:rPr>
        <w:t>Rechazo reiterado de lotes durante prórrogas, incluso en productos que inicialmente habían sido aprobados, evidenciando reprocesos por fallas técnicas atribuibles al contratista.</w:t>
      </w:r>
    </w:p>
    <w:p w14:paraId="0BA3C21A" w14:textId="77777777" w:rsidR="00A92190" w:rsidRPr="00A92190" w:rsidRDefault="00A92190" w:rsidP="00A92190">
      <w:pPr>
        <w:pStyle w:val="NormalWeb"/>
        <w:spacing w:before="0" w:beforeAutospacing="0" w:after="0" w:afterAutospacing="0"/>
        <w:rPr>
          <w:rFonts w:ascii="Arial" w:hAnsi="Arial" w:cs="Arial"/>
          <w:lang w:eastAsia="es-ES_tradnl"/>
        </w:rPr>
      </w:pPr>
    </w:p>
    <w:p w14:paraId="21BCA036" w14:textId="0AE0D8F7" w:rsidR="00AD5F5C" w:rsidRPr="00AD5F5C" w:rsidRDefault="00AD5F5C" w:rsidP="00AD5F5C">
      <w:pPr>
        <w:pStyle w:val="p1"/>
        <w:spacing w:before="0" w:beforeAutospacing="0" w:after="0" w:afterAutospacing="0"/>
        <w:jc w:val="both"/>
        <w:rPr>
          <w:rFonts w:ascii="Arial" w:hAnsi="Arial" w:cs="Arial"/>
          <w:lang w:val="es-CO"/>
        </w:rPr>
      </w:pPr>
      <w:r w:rsidRPr="00AD5F5C">
        <w:rPr>
          <w:rFonts w:ascii="Arial" w:hAnsi="Arial" w:cs="Arial"/>
          <w:lang w:val="es-CO"/>
        </w:rPr>
        <w:t>Durante la ejecución de la prórroga No. 3, el contrato debía registrar un avance técnico aproximado del 90%; sin embargo, únicamente se evidenció un avance del 47%, acompañado de la devolución inmediata de 5 de los 7 lotes entregados, debido al incumplimiento de los requisitos técnicos mínimos establecidos.</w:t>
      </w:r>
      <w:r>
        <w:rPr>
          <w:rFonts w:ascii="Arial" w:hAnsi="Arial" w:cs="Arial"/>
          <w:lang w:val="es-CO"/>
        </w:rPr>
        <w:t xml:space="preserve"> </w:t>
      </w:r>
      <w:r w:rsidRPr="00AD5F5C">
        <w:rPr>
          <w:rFonts w:ascii="Arial" w:hAnsi="Arial" w:cs="Arial"/>
          <w:lang w:val="es-CO"/>
        </w:rPr>
        <w:t>De igual manera, durante la solicitud de la prórroga No. 4, momento en el cual el</w:t>
      </w:r>
      <w:r>
        <w:rPr>
          <w:rFonts w:ascii="Arial" w:hAnsi="Arial" w:cs="Arial"/>
          <w:lang w:val="es-CO"/>
        </w:rPr>
        <w:t xml:space="preserve"> </w:t>
      </w:r>
      <w:r w:rsidRPr="00AD5F5C">
        <w:rPr>
          <w:rFonts w:ascii="Arial" w:hAnsi="Arial" w:cs="Arial"/>
          <w:lang w:val="es-CO"/>
        </w:rPr>
        <w:t>contrato debía contar con un avance aproximado del 95%, al encontrarse a tan solo 4 días de la fecha de finalización contractual, el propio contratista manifestó en su solicitud que el avance del proceso técnico de digitalización correspondía únicamente al 34% del volumen documental.</w:t>
      </w:r>
    </w:p>
    <w:p w14:paraId="31B0F596" w14:textId="77777777" w:rsidR="00A92190" w:rsidRPr="00AD5F5C" w:rsidRDefault="00A92190" w:rsidP="00A92190">
      <w:pPr>
        <w:pStyle w:val="p1"/>
        <w:spacing w:before="0" w:beforeAutospacing="0" w:after="0" w:afterAutospacing="0"/>
        <w:jc w:val="both"/>
        <w:rPr>
          <w:rFonts w:ascii="Arial" w:hAnsi="Arial" w:cs="Arial"/>
          <w:lang w:val="es-CO"/>
        </w:rPr>
      </w:pPr>
    </w:p>
    <w:p w14:paraId="3D4222EE" w14:textId="446A3A6B" w:rsidR="00AA708D" w:rsidRDefault="00AA708D" w:rsidP="00A92190">
      <w:pPr>
        <w:pStyle w:val="p1"/>
        <w:spacing w:before="0" w:beforeAutospacing="0" w:after="0" w:afterAutospacing="0"/>
        <w:jc w:val="both"/>
        <w:rPr>
          <w:rFonts w:ascii="Arial" w:hAnsi="Arial" w:cs="Arial"/>
        </w:rPr>
      </w:pPr>
      <w:r w:rsidRPr="00AA708D">
        <w:rPr>
          <w:rFonts w:ascii="Arial" w:hAnsi="Arial" w:cs="Arial"/>
        </w:rPr>
        <w:lastRenderedPageBreak/>
        <w:t>Las prórrogas concedidas por la SNR no constituyen reconocimiento de ausencia de responsabilidad del contratista, sino que obedecieron a una actuación administrativa orientada a salvaguardar el interés público, permitir la culminación del objeto contractual y evitar una afectación mayor al servicio, todo ello sin exonerar ni trasladar a la Entidad las consecuencias de la gestión deficiente del contratista, tal como se encuentra acreditado en los seguimientos preventivos, mesas técnicas y requerimientos formales efectuados durante la ejecución contractual</w:t>
      </w:r>
      <w:r>
        <w:rPr>
          <w:rFonts w:ascii="Arial" w:hAnsi="Arial" w:cs="Arial"/>
        </w:rPr>
        <w:t>.</w:t>
      </w:r>
    </w:p>
    <w:p w14:paraId="07A166A4" w14:textId="77777777" w:rsidR="00A92190" w:rsidRDefault="00A92190" w:rsidP="00A92190">
      <w:pPr>
        <w:pStyle w:val="p1"/>
        <w:spacing w:before="0" w:beforeAutospacing="0" w:after="0" w:afterAutospacing="0"/>
        <w:jc w:val="both"/>
        <w:rPr>
          <w:rFonts w:ascii="Arial" w:hAnsi="Arial" w:cs="Arial"/>
        </w:rPr>
      </w:pPr>
    </w:p>
    <w:p w14:paraId="40D74400" w14:textId="77777777" w:rsidR="00A92190" w:rsidRDefault="00EA34C7" w:rsidP="00EA34C7">
      <w:pPr>
        <w:pStyle w:val="p1"/>
        <w:jc w:val="both"/>
        <w:rPr>
          <w:rFonts w:ascii="Arial" w:hAnsi="Arial" w:cs="Arial"/>
        </w:rPr>
      </w:pPr>
      <w:r>
        <w:rPr>
          <w:rFonts w:ascii="Arial" w:hAnsi="Arial" w:cs="Arial"/>
        </w:rPr>
        <w:t xml:space="preserve">Por otra parte, en el numeral, </w:t>
      </w:r>
    </w:p>
    <w:p w14:paraId="36306379" w14:textId="56A07B35" w:rsidR="00EA34C7" w:rsidRPr="00EA34C7" w:rsidRDefault="00B96678" w:rsidP="00E743F5">
      <w:pPr>
        <w:pStyle w:val="p1"/>
        <w:numPr>
          <w:ilvl w:val="0"/>
          <w:numId w:val="10"/>
        </w:numPr>
        <w:jc w:val="both"/>
        <w:rPr>
          <w:rFonts w:ascii="Arial" w:hAnsi="Arial" w:cs="Arial"/>
          <w:lang w:val="es-ES_tradnl"/>
        </w:rPr>
      </w:pPr>
      <w:r w:rsidRPr="00B96678">
        <w:rPr>
          <w:rFonts w:ascii="Arial" w:hAnsi="Arial" w:cs="Arial"/>
          <w:b/>
          <w:bCs/>
          <w:i/>
          <w:iCs/>
          <w:u w:val="single"/>
        </w:rPr>
        <w:t>HECHOS QUE ORIGINARON EL DESEQUILIBRIO ECONÓMICO DEL</w:t>
      </w:r>
      <w:r w:rsidR="00EA34C7">
        <w:rPr>
          <w:rFonts w:ascii="Arial" w:hAnsi="Arial" w:cs="Arial"/>
          <w:b/>
          <w:bCs/>
          <w:i/>
          <w:iCs/>
          <w:u w:val="single"/>
        </w:rPr>
        <w:t xml:space="preserve"> </w:t>
      </w:r>
      <w:r w:rsidRPr="00EA34C7">
        <w:rPr>
          <w:rFonts w:ascii="Arial" w:hAnsi="Arial" w:cs="Arial"/>
          <w:b/>
          <w:bCs/>
          <w:i/>
          <w:iCs/>
          <w:u w:val="single"/>
          <w:lang w:val="es-ES_tradnl"/>
        </w:rPr>
        <w:t>CONTRATO</w:t>
      </w:r>
      <w:r w:rsidR="004B5A8E">
        <w:rPr>
          <w:rFonts w:ascii="Arial" w:hAnsi="Arial" w:cs="Arial"/>
          <w:b/>
          <w:bCs/>
          <w:i/>
          <w:iCs/>
          <w:u w:val="single"/>
          <w:lang w:val="es-ES_tradnl"/>
        </w:rPr>
        <w:t>:</w:t>
      </w:r>
    </w:p>
    <w:p w14:paraId="2F5C80BA" w14:textId="4E24EF6C" w:rsidR="00612D9A" w:rsidRPr="00612D9A" w:rsidRDefault="00612D9A" w:rsidP="00612D9A">
      <w:pPr>
        <w:pStyle w:val="p1"/>
        <w:numPr>
          <w:ilvl w:val="0"/>
          <w:numId w:val="12"/>
        </w:numPr>
        <w:spacing w:before="0" w:beforeAutospacing="0" w:after="0" w:afterAutospacing="0"/>
        <w:jc w:val="both"/>
        <w:rPr>
          <w:rFonts w:ascii="Arial" w:hAnsi="Arial" w:cs="Arial"/>
          <w:b/>
          <w:bCs/>
          <w:i/>
          <w:iCs/>
          <w:u w:val="single"/>
          <w:lang w:val="es-ES_tradnl"/>
        </w:rPr>
      </w:pPr>
      <w:r w:rsidRPr="00612D9A">
        <w:rPr>
          <w:rFonts w:ascii="Arial" w:hAnsi="Arial" w:cs="Arial"/>
          <w:b/>
          <w:bCs/>
          <w:i/>
          <w:iCs/>
          <w:u w:val="single"/>
        </w:rPr>
        <w:t>“</w:t>
      </w:r>
      <w:r w:rsidRPr="00A92190">
        <w:rPr>
          <w:rFonts w:ascii="Arial" w:hAnsi="Arial" w:cs="Arial"/>
          <w:b/>
          <w:bCs/>
          <w:i/>
          <w:iCs/>
          <w:u w:val="single"/>
        </w:rPr>
        <w:t>indebida estructuración del contrato</w:t>
      </w:r>
      <w:r w:rsidRPr="00612D9A">
        <w:rPr>
          <w:rFonts w:ascii="Arial" w:hAnsi="Arial" w:cs="Arial"/>
          <w:b/>
          <w:bCs/>
          <w:i/>
          <w:iCs/>
          <w:u w:val="single"/>
        </w:rPr>
        <w:t>”</w:t>
      </w:r>
    </w:p>
    <w:p w14:paraId="2868B390" w14:textId="77777777" w:rsidR="00612D9A" w:rsidRDefault="00612D9A" w:rsidP="00612D9A">
      <w:pPr>
        <w:pStyle w:val="p1"/>
        <w:spacing w:before="0" w:beforeAutospacing="0" w:after="0" w:afterAutospacing="0"/>
        <w:jc w:val="both"/>
        <w:rPr>
          <w:rFonts w:ascii="Arial" w:hAnsi="Arial" w:cs="Arial"/>
          <w:b/>
          <w:bCs/>
          <w:i/>
          <w:iCs/>
          <w:u w:val="single"/>
          <w:lang w:val="es-ES_tradnl"/>
        </w:rPr>
      </w:pPr>
    </w:p>
    <w:p w14:paraId="12ECE8DC" w14:textId="4FF94213" w:rsidR="00AA708D" w:rsidRPr="00612D9A" w:rsidRDefault="00B96678" w:rsidP="00612D9A">
      <w:pPr>
        <w:pStyle w:val="p1"/>
        <w:spacing w:before="0" w:beforeAutospacing="0" w:after="0" w:afterAutospacing="0"/>
        <w:jc w:val="both"/>
        <w:rPr>
          <w:rFonts w:ascii="Arial" w:hAnsi="Arial" w:cs="Arial"/>
          <w:b/>
          <w:bCs/>
          <w:i/>
          <w:iCs/>
          <w:u w:val="single"/>
          <w:lang w:val="es-ES_tradnl"/>
        </w:rPr>
      </w:pPr>
      <w:r w:rsidRPr="00612D9A">
        <w:rPr>
          <w:rFonts w:ascii="Arial" w:hAnsi="Arial" w:cs="Arial"/>
        </w:rPr>
        <w:t>En respuesta a lo anterior, l</w:t>
      </w:r>
      <w:r w:rsidR="00AA708D" w:rsidRPr="00612D9A">
        <w:rPr>
          <w:rFonts w:ascii="Arial" w:hAnsi="Arial" w:cs="Arial"/>
        </w:rPr>
        <w:t>a Entidad rechaza de manera expresa la afirmación según la cual la ampliación del plazo contractual habría generado una ruptura del equilibrio económico imputable a la SNR. Ya que, de acuerdo con la Ley 80 de 1993, la jurisprudencia reiterada del Consejo de Estado y el análisis del caso concreto, el restablecimiento del equilibrio económico no procede de manera automática por la sola ampliación del plazo, y menos aun cuando dicha ampliación se origina en incumplimientos, deficiencias operativas y fallas técnicas imputables al contratista.</w:t>
      </w:r>
    </w:p>
    <w:p w14:paraId="1CC9E874" w14:textId="645EB5E6" w:rsidR="00AA708D" w:rsidRPr="00AA708D" w:rsidRDefault="00AA708D" w:rsidP="00AA708D">
      <w:pPr>
        <w:pStyle w:val="p1"/>
        <w:jc w:val="both"/>
        <w:rPr>
          <w:rFonts w:ascii="Arial" w:hAnsi="Arial" w:cs="Arial"/>
        </w:rPr>
      </w:pPr>
      <w:r w:rsidRPr="00AA708D">
        <w:rPr>
          <w:rFonts w:ascii="Arial" w:hAnsi="Arial" w:cs="Arial"/>
        </w:rPr>
        <w:t>En el presente caso</w:t>
      </w:r>
      <w:r w:rsidR="00A92190">
        <w:rPr>
          <w:rFonts w:ascii="Arial" w:hAnsi="Arial" w:cs="Arial"/>
        </w:rPr>
        <w:t xml:space="preserve">, la ejecución en mayores tiempos se debió a: </w:t>
      </w:r>
    </w:p>
    <w:p w14:paraId="4C7DEB57" w14:textId="6665302D" w:rsidR="00A92190" w:rsidRDefault="00A92190" w:rsidP="00A92190">
      <w:pPr>
        <w:pStyle w:val="p1"/>
        <w:numPr>
          <w:ilvl w:val="0"/>
          <w:numId w:val="11"/>
        </w:numPr>
        <w:jc w:val="both"/>
        <w:rPr>
          <w:rFonts w:ascii="Arial" w:hAnsi="Arial" w:cs="Arial"/>
          <w:lang w:val="es-CO"/>
        </w:rPr>
      </w:pPr>
      <w:r w:rsidRPr="00A92190">
        <w:rPr>
          <w:rFonts w:ascii="Arial" w:hAnsi="Arial" w:cs="Arial"/>
          <w:lang w:val="es-CO"/>
        </w:rPr>
        <w:t>Incumplimiento de cronogramas</w:t>
      </w:r>
      <w:r>
        <w:rPr>
          <w:rFonts w:ascii="Arial" w:hAnsi="Arial" w:cs="Arial"/>
          <w:lang w:val="es-CO"/>
        </w:rPr>
        <w:t>, planteado por el contratista y no cumplido por el mismo.</w:t>
      </w:r>
    </w:p>
    <w:p w14:paraId="52B69751" w14:textId="729B99DD" w:rsidR="00AD5F5C" w:rsidRPr="00AD5F5C" w:rsidRDefault="00AD5F5C" w:rsidP="00AD5F5C">
      <w:pPr>
        <w:pStyle w:val="NormalWeb"/>
        <w:numPr>
          <w:ilvl w:val="0"/>
          <w:numId w:val="11"/>
        </w:numPr>
        <w:jc w:val="both"/>
        <w:rPr>
          <w:rFonts w:ascii="Arial" w:hAnsi="Arial" w:cs="Arial"/>
          <w:lang w:eastAsia="es-ES_tradnl"/>
        </w:rPr>
      </w:pPr>
      <w:r w:rsidRPr="00AD5F5C">
        <w:rPr>
          <w:rFonts w:ascii="Arial" w:hAnsi="Arial" w:cs="Arial"/>
          <w:lang w:eastAsia="es-ES_tradnl"/>
        </w:rPr>
        <w:t>Reprocesos derivados de errores en la organización y digitalización de la información, precisando que, si bien la supervisión realiza</w:t>
      </w:r>
      <w:r>
        <w:rPr>
          <w:rFonts w:ascii="Arial" w:hAnsi="Arial" w:cs="Arial"/>
          <w:lang w:eastAsia="es-ES_tradnl"/>
        </w:rPr>
        <w:t>ba</w:t>
      </w:r>
      <w:r w:rsidRPr="00AD5F5C">
        <w:rPr>
          <w:rFonts w:ascii="Arial" w:hAnsi="Arial" w:cs="Arial"/>
          <w:lang w:eastAsia="es-ES_tradnl"/>
        </w:rPr>
        <w:t xml:space="preserve"> revisiones aleatorias como parte de un proceso de muestreo, cuando los resultados no </w:t>
      </w:r>
      <w:r>
        <w:rPr>
          <w:rFonts w:ascii="Arial" w:hAnsi="Arial" w:cs="Arial"/>
          <w:lang w:eastAsia="es-ES_tradnl"/>
        </w:rPr>
        <w:t>eran</w:t>
      </w:r>
      <w:r w:rsidRPr="00AD5F5C">
        <w:rPr>
          <w:rFonts w:ascii="Arial" w:hAnsi="Arial" w:cs="Arial"/>
          <w:lang w:eastAsia="es-ES_tradnl"/>
        </w:rPr>
        <w:t xml:space="preserve"> conformes se proced</w:t>
      </w:r>
      <w:r>
        <w:rPr>
          <w:rFonts w:ascii="Arial" w:hAnsi="Arial" w:cs="Arial"/>
          <w:lang w:eastAsia="es-ES_tradnl"/>
        </w:rPr>
        <w:t>ía</w:t>
      </w:r>
      <w:r w:rsidRPr="00AD5F5C">
        <w:rPr>
          <w:rFonts w:ascii="Arial" w:hAnsi="Arial" w:cs="Arial"/>
          <w:lang w:eastAsia="es-ES_tradnl"/>
        </w:rPr>
        <w:t xml:space="preserve"> a ampliar la muestra. Para el presente contrato, existieron ORIP en las que fue necesario efectuar control de calidad al 100% por parte de la entidad, evidenciándose deficiencias en la calidad del trabajo ejecutado por el contratista, así como inconsistencias en la aplicación de los criterios definidos en el Anexo Técnico del contrato y en el Protocolo de Organización elaborado por el propio contratista y avalado por la supervisión.</w:t>
      </w:r>
    </w:p>
    <w:p w14:paraId="65E2E81D" w14:textId="41D0C620" w:rsidR="00EF28C2" w:rsidRDefault="00EF28C2" w:rsidP="00EF28C2">
      <w:pPr>
        <w:pStyle w:val="NormalWeb"/>
        <w:numPr>
          <w:ilvl w:val="0"/>
          <w:numId w:val="11"/>
        </w:numPr>
        <w:spacing w:before="0" w:beforeAutospacing="0" w:after="0" w:afterAutospacing="0"/>
        <w:jc w:val="both"/>
        <w:rPr>
          <w:rFonts w:ascii="Arial" w:hAnsi="Arial" w:cs="Arial"/>
        </w:rPr>
      </w:pPr>
      <w:r w:rsidRPr="00EF28C2">
        <w:rPr>
          <w:rStyle w:val="Fuerte"/>
          <w:rFonts w:ascii="Arial" w:eastAsiaTheme="majorEastAsia" w:hAnsi="Arial" w:cs="Arial"/>
          <w:b w:val="0"/>
          <w:bCs w:val="0"/>
        </w:rPr>
        <w:t>Insuficiente capacidad operativa y deficiencias en la gestión inicial del contrato</w:t>
      </w:r>
      <w:r w:rsidRPr="00EF28C2">
        <w:rPr>
          <w:rFonts w:ascii="Arial" w:hAnsi="Arial" w:cs="Arial"/>
        </w:rPr>
        <w:t>, evidenciadas en la limitada disponibilidad de personal, infraestructura y recursos técnicos requeridos para el cumplimiento de las obligaciones contractuales, así como en falencias en la planeación y dirección por parte de la gerencia del contrato del contratista, situación que fue oportunamente advertida y documentada por la supervisión durante la ejecución contractual.</w:t>
      </w:r>
    </w:p>
    <w:p w14:paraId="6936B268" w14:textId="77777777" w:rsidR="00EF28C2" w:rsidRPr="00EF28C2" w:rsidRDefault="00EF28C2" w:rsidP="00EF28C2">
      <w:pPr>
        <w:pStyle w:val="NormalWeb"/>
        <w:spacing w:before="0" w:beforeAutospacing="0" w:after="0" w:afterAutospacing="0"/>
        <w:jc w:val="both"/>
        <w:rPr>
          <w:rFonts w:ascii="Arial" w:hAnsi="Arial" w:cs="Arial"/>
        </w:rPr>
      </w:pPr>
    </w:p>
    <w:p w14:paraId="1810FE0E" w14:textId="77777777" w:rsidR="00AD5F5C" w:rsidRDefault="00AD5F5C" w:rsidP="00AD5F5C">
      <w:pPr>
        <w:pStyle w:val="NormalWeb"/>
        <w:spacing w:before="0" w:beforeAutospacing="0" w:after="0" w:afterAutospacing="0"/>
        <w:jc w:val="both"/>
        <w:rPr>
          <w:rFonts w:ascii="Arial" w:hAnsi="Arial" w:cs="Arial"/>
        </w:rPr>
      </w:pPr>
      <w:r w:rsidRPr="00AD5F5C">
        <w:rPr>
          <w:rFonts w:ascii="Arial" w:hAnsi="Arial" w:cs="Arial"/>
        </w:rPr>
        <w:t xml:space="preserve">En consecuencia, la mayor permanencia en la ejecución del contrato no puede trasladarse a la Entidad ni constituye un desequilibrio económico indemnizable, </w:t>
      </w:r>
      <w:r w:rsidRPr="00AD5F5C">
        <w:rPr>
          <w:rFonts w:ascii="Arial" w:hAnsi="Arial" w:cs="Arial"/>
        </w:rPr>
        <w:lastRenderedPageBreak/>
        <w:t>dado que obedece a circunstancias atribuibles al contratista y que se encuentran debidamente documentadas por la supervisión contractual.</w:t>
      </w:r>
    </w:p>
    <w:p w14:paraId="17C70C09" w14:textId="77777777" w:rsidR="00AD5F5C" w:rsidRDefault="00AD5F5C" w:rsidP="00AD5F5C">
      <w:pPr>
        <w:pStyle w:val="NormalWeb"/>
        <w:spacing w:before="0" w:beforeAutospacing="0" w:after="0" w:afterAutospacing="0"/>
        <w:jc w:val="both"/>
        <w:rPr>
          <w:rFonts w:ascii="Arial" w:hAnsi="Arial" w:cs="Arial"/>
        </w:rPr>
      </w:pPr>
    </w:p>
    <w:p w14:paraId="37DDB085" w14:textId="18800961" w:rsidR="00AD5F5C" w:rsidRDefault="00AD5F5C" w:rsidP="00AD5F5C">
      <w:pPr>
        <w:pStyle w:val="NormalWeb"/>
        <w:spacing w:before="0" w:beforeAutospacing="0" w:after="0" w:afterAutospacing="0"/>
        <w:jc w:val="both"/>
        <w:rPr>
          <w:rFonts w:ascii="Arial" w:hAnsi="Arial" w:cs="Arial"/>
        </w:rPr>
      </w:pPr>
      <w:r w:rsidRPr="00AD5F5C">
        <w:rPr>
          <w:rFonts w:ascii="Arial" w:hAnsi="Arial" w:cs="Arial"/>
        </w:rPr>
        <w:t>Adicionalmente, se aclara que en cada una de las solicitudes de prórroga presentadas por el contratista se dejó constancia expresa de</w:t>
      </w:r>
      <w:r>
        <w:rPr>
          <w:rFonts w:ascii="Arial" w:hAnsi="Arial" w:cs="Arial"/>
        </w:rPr>
        <w:t xml:space="preserve"> </w:t>
      </w:r>
      <w:proofErr w:type="gramStart"/>
      <w:r>
        <w:rPr>
          <w:rFonts w:ascii="Arial" w:hAnsi="Arial" w:cs="Arial"/>
        </w:rPr>
        <w:t>…</w:t>
      </w:r>
      <w:r w:rsidRPr="00AD5F5C">
        <w:rPr>
          <w:rStyle w:val="nfasis"/>
          <w:rFonts w:ascii="Arial" w:eastAsiaTheme="majorEastAsia" w:hAnsi="Arial" w:cs="Arial"/>
        </w:rPr>
        <w:t>“</w:t>
      </w:r>
      <w:proofErr w:type="gramEnd"/>
      <w:r w:rsidRPr="00AD5F5C">
        <w:rPr>
          <w:rStyle w:val="nfasis"/>
          <w:rFonts w:ascii="Arial" w:eastAsiaTheme="majorEastAsia" w:hAnsi="Arial" w:cs="Arial"/>
        </w:rPr>
        <w:t>la presente solicitud de prórroga no implica ninguna erogación adicional para la Superintendencia de Notariado y Registro, razón por la cual no se generarán pagos adicionales a los estipulados en el contrato vigente”</w:t>
      </w:r>
      <w:r>
        <w:rPr>
          <w:rStyle w:val="nfasis"/>
          <w:rFonts w:ascii="Arial" w:eastAsiaTheme="majorEastAsia" w:hAnsi="Arial" w:cs="Arial"/>
        </w:rPr>
        <w:t xml:space="preserve"> …</w:t>
      </w:r>
      <w:r w:rsidRPr="00AD5F5C">
        <w:rPr>
          <w:rFonts w:ascii="Arial" w:hAnsi="Arial" w:cs="Arial"/>
        </w:rPr>
        <w:t>, lo cual reafirma que no existe fundamento para reclamar reconocimientos económicos adicionales derivados de dichas ampliaciones de plazo.</w:t>
      </w:r>
    </w:p>
    <w:p w14:paraId="17BF3007" w14:textId="77777777" w:rsidR="00AD5F5C" w:rsidRPr="00AD5F5C" w:rsidRDefault="00AD5F5C" w:rsidP="00AD5F5C">
      <w:pPr>
        <w:pStyle w:val="NormalWeb"/>
        <w:spacing w:before="0" w:beforeAutospacing="0" w:after="0" w:afterAutospacing="0"/>
        <w:jc w:val="both"/>
        <w:rPr>
          <w:rFonts w:ascii="Arial" w:hAnsi="Arial" w:cs="Arial"/>
        </w:rPr>
      </w:pPr>
    </w:p>
    <w:p w14:paraId="399C06CF" w14:textId="77777777" w:rsidR="002E7918" w:rsidRPr="002E7918" w:rsidRDefault="002E7918" w:rsidP="002E7918">
      <w:pPr>
        <w:jc w:val="both"/>
        <w:rPr>
          <w:rFonts w:ascii="Arial" w:hAnsi="Arial" w:cs="Arial"/>
          <w:lang w:val="es-ES_tradnl"/>
        </w:rPr>
      </w:pPr>
      <w:r w:rsidRPr="002E7918">
        <w:rPr>
          <w:rFonts w:ascii="Arial" w:hAnsi="Arial" w:cs="Arial"/>
          <w:lang w:val="es-ES_tradnl"/>
        </w:rPr>
        <w:t>La SNR no acepta que exista “indebida estructuración o planeación” por el solo hecho de que el contrato haya requerido prórrogas. El objeto, alcance (235 ML), etapas técnicas, obligaciones, requisitos operativos (infraestructura, personal, equipos, plan de trabajo y metodología), así como el plazo contractual y la restricción de vigencia, fueron definidos previamente en el contrato y el anexo técnico, y fueron aceptados por el contratista al presentar oferta y suscribir el contrato.</w:t>
      </w:r>
    </w:p>
    <w:p w14:paraId="31BE0D7D" w14:textId="77777777" w:rsidR="002E7918" w:rsidRPr="002E7918" w:rsidRDefault="002E7918" w:rsidP="002E7918">
      <w:pPr>
        <w:jc w:val="both"/>
        <w:rPr>
          <w:rFonts w:ascii="Arial" w:hAnsi="Arial" w:cs="Arial"/>
          <w:lang w:val="es-ES_tradnl"/>
        </w:rPr>
      </w:pPr>
    </w:p>
    <w:p w14:paraId="63184987" w14:textId="60B96E42" w:rsidR="002E7918" w:rsidRPr="002E7918" w:rsidRDefault="002E7918" w:rsidP="002E7918">
      <w:pPr>
        <w:jc w:val="both"/>
        <w:rPr>
          <w:rFonts w:ascii="Arial" w:hAnsi="Arial" w:cs="Arial"/>
          <w:lang w:val="es-ES_tradnl"/>
        </w:rPr>
      </w:pPr>
      <w:r w:rsidRPr="002E7918">
        <w:rPr>
          <w:rFonts w:ascii="Arial" w:hAnsi="Arial" w:cs="Arial"/>
          <w:lang w:val="es-ES_tradnl"/>
        </w:rPr>
        <w:t xml:space="preserve">Adicionalmente, </w:t>
      </w:r>
      <w:r>
        <w:rPr>
          <w:rFonts w:ascii="Arial" w:hAnsi="Arial" w:cs="Arial"/>
          <w:lang w:val="es-ES_tradnl"/>
        </w:rPr>
        <w:t>se</w:t>
      </w:r>
      <w:r w:rsidRPr="002E7918">
        <w:rPr>
          <w:rFonts w:ascii="Arial" w:hAnsi="Arial" w:cs="Arial"/>
          <w:lang w:val="es-ES_tradnl"/>
        </w:rPr>
        <w:t xml:space="preserve"> evidencia que las prórrogas y la mayor permanencia no se derivan de una omisión estructural de la Entidad, sino </w:t>
      </w:r>
      <w:r>
        <w:rPr>
          <w:rFonts w:ascii="Arial" w:hAnsi="Arial" w:cs="Arial"/>
          <w:lang w:val="es-ES_tradnl"/>
        </w:rPr>
        <w:t>a la no entrega oportuna de los productos los cuales fueron</w:t>
      </w:r>
      <w:r w:rsidRPr="002E7918">
        <w:rPr>
          <w:rFonts w:ascii="Arial" w:hAnsi="Arial" w:cs="Arial"/>
          <w:lang w:val="es-ES_tradnl"/>
        </w:rPr>
        <w:t xml:space="preserve"> reiterados del contratista en la ejecución de su propia planeación</w:t>
      </w:r>
      <w:r>
        <w:rPr>
          <w:rFonts w:ascii="Arial" w:hAnsi="Arial" w:cs="Arial"/>
          <w:lang w:val="es-ES_tradnl"/>
        </w:rPr>
        <w:t xml:space="preserve"> lo que conllevo a: </w:t>
      </w:r>
      <w:r w:rsidRPr="002E7918">
        <w:rPr>
          <w:rFonts w:ascii="Arial" w:hAnsi="Arial" w:cs="Arial"/>
          <w:lang w:val="es-ES_tradnl"/>
        </w:rPr>
        <w:t>múltiples versiones de planes de trabajo, retrasos y falta de entregas oportunas, hechos que la supervisión acreditó con seguimientos preventivos y control permanente</w:t>
      </w:r>
      <w:r>
        <w:rPr>
          <w:rFonts w:ascii="Arial" w:hAnsi="Arial" w:cs="Arial"/>
          <w:lang w:val="es-ES_tradnl"/>
        </w:rPr>
        <w:t>.</w:t>
      </w:r>
    </w:p>
    <w:p w14:paraId="35C9A712" w14:textId="77777777" w:rsidR="002E7918" w:rsidRPr="002E7918" w:rsidRDefault="002E7918" w:rsidP="002E7918">
      <w:pPr>
        <w:jc w:val="both"/>
        <w:rPr>
          <w:rFonts w:ascii="Arial" w:hAnsi="Arial" w:cs="Arial"/>
          <w:lang w:val="es-ES_tradnl"/>
        </w:rPr>
      </w:pPr>
    </w:p>
    <w:p w14:paraId="7FB42632" w14:textId="27F9F783" w:rsidR="00AA708D" w:rsidRDefault="002E7918" w:rsidP="002E7918">
      <w:pPr>
        <w:jc w:val="both"/>
        <w:rPr>
          <w:rFonts w:ascii="Arial" w:hAnsi="Arial" w:cs="Arial"/>
          <w:lang w:val="es-ES_tradnl"/>
        </w:rPr>
      </w:pPr>
      <w:r w:rsidRPr="00612D9A">
        <w:rPr>
          <w:rFonts w:ascii="Arial" w:hAnsi="Arial" w:cs="Arial"/>
          <w:lang w:val="es-ES_tradnl"/>
        </w:rPr>
        <w:t xml:space="preserve">Sobre el </w:t>
      </w:r>
      <w:r w:rsidRPr="00612D9A">
        <w:rPr>
          <w:rFonts w:ascii="Arial" w:hAnsi="Arial" w:cs="Arial"/>
          <w:i/>
          <w:iCs/>
          <w:lang w:val="es-ES_tradnl"/>
        </w:rPr>
        <w:t>“desfase</w:t>
      </w:r>
      <w:r w:rsidRPr="00612D9A">
        <w:rPr>
          <w:rFonts w:ascii="Arial" w:hAnsi="Arial" w:cs="Arial"/>
          <w:lang w:val="es-ES_tradnl"/>
        </w:rPr>
        <w:t>” entre la aprobación en SECOP II el 05 de agosto de</w:t>
      </w:r>
      <w:r w:rsidR="00EA34C7" w:rsidRPr="00612D9A">
        <w:rPr>
          <w:rFonts w:ascii="Arial" w:hAnsi="Arial" w:cs="Arial"/>
          <w:lang w:val="es-ES_tradnl"/>
        </w:rPr>
        <w:t xml:space="preserve"> </w:t>
      </w:r>
      <w:r w:rsidRPr="00612D9A">
        <w:rPr>
          <w:rFonts w:ascii="Arial" w:hAnsi="Arial" w:cs="Arial"/>
          <w:lang w:val="es-ES_tradnl"/>
        </w:rPr>
        <w:t>2024 y el Acta de Inicio del 28 de agosto del 2024, la supervisión del contrato deja constancia de que el contratista</w:t>
      </w:r>
      <w:r w:rsidRPr="002E7918">
        <w:rPr>
          <w:rFonts w:ascii="Arial" w:hAnsi="Arial" w:cs="Arial"/>
          <w:lang w:val="es-ES_tradnl"/>
        </w:rPr>
        <w:t xml:space="preserve"> presentó pólizas para aceptación el 22</w:t>
      </w:r>
      <w:r>
        <w:rPr>
          <w:rFonts w:ascii="Arial" w:hAnsi="Arial" w:cs="Arial"/>
          <w:lang w:val="es-ES_tradnl"/>
        </w:rPr>
        <w:t xml:space="preserve"> de agosto de </w:t>
      </w:r>
      <w:r w:rsidRPr="002E7918">
        <w:rPr>
          <w:rFonts w:ascii="Arial" w:hAnsi="Arial" w:cs="Arial"/>
          <w:lang w:val="es-ES_tradnl"/>
        </w:rPr>
        <w:t xml:space="preserve">2024, </w:t>
      </w:r>
      <w:r>
        <w:rPr>
          <w:rFonts w:ascii="Arial" w:hAnsi="Arial" w:cs="Arial"/>
          <w:lang w:val="es-ES_tradnl"/>
        </w:rPr>
        <w:t xml:space="preserve">las cuales </w:t>
      </w:r>
      <w:r w:rsidRPr="002E7918">
        <w:rPr>
          <w:rFonts w:ascii="Arial" w:hAnsi="Arial" w:cs="Arial"/>
          <w:lang w:val="es-ES_tradnl"/>
        </w:rPr>
        <w:t>fueron rechazadas el 23</w:t>
      </w:r>
      <w:r>
        <w:rPr>
          <w:rFonts w:ascii="Arial" w:hAnsi="Arial" w:cs="Arial"/>
          <w:lang w:val="es-ES_tradnl"/>
        </w:rPr>
        <w:t xml:space="preserve"> de agosto de </w:t>
      </w:r>
      <w:r w:rsidRPr="002E7918">
        <w:rPr>
          <w:rFonts w:ascii="Arial" w:hAnsi="Arial" w:cs="Arial"/>
          <w:lang w:val="es-ES_tradnl"/>
        </w:rPr>
        <w:t>2024 por no cumplir requisitos, y solo fueron aceptadas el 27</w:t>
      </w:r>
      <w:r w:rsidR="00612D9A">
        <w:rPr>
          <w:rFonts w:ascii="Arial" w:hAnsi="Arial" w:cs="Arial"/>
          <w:lang w:val="es-ES_tradnl"/>
        </w:rPr>
        <w:t xml:space="preserve"> </w:t>
      </w:r>
      <w:r>
        <w:rPr>
          <w:rFonts w:ascii="Arial" w:hAnsi="Arial" w:cs="Arial"/>
          <w:lang w:val="es-ES_tradnl"/>
        </w:rPr>
        <w:t xml:space="preserve">de agosto </w:t>
      </w:r>
      <w:r w:rsidRPr="002E7918">
        <w:rPr>
          <w:rFonts w:ascii="Arial" w:hAnsi="Arial" w:cs="Arial"/>
          <w:lang w:val="es-ES_tradnl"/>
        </w:rPr>
        <w:t>2024, habilitando el inicio el 2</w:t>
      </w:r>
      <w:r>
        <w:rPr>
          <w:rFonts w:ascii="Arial" w:hAnsi="Arial" w:cs="Arial"/>
          <w:lang w:val="es-ES_tradnl"/>
        </w:rPr>
        <w:t xml:space="preserve">8 de agosto </w:t>
      </w:r>
      <w:r w:rsidRPr="002E7918">
        <w:rPr>
          <w:rFonts w:ascii="Arial" w:hAnsi="Arial" w:cs="Arial"/>
          <w:lang w:val="es-ES_tradnl"/>
        </w:rPr>
        <w:t>2024; por tanto, el desfase inicial no puede imputarse a falla de planeación de la SNR, sino a un hecho atribuible al contratista en la etapa previa al inicio</w:t>
      </w:r>
      <w:r>
        <w:rPr>
          <w:rFonts w:ascii="Arial" w:hAnsi="Arial" w:cs="Arial"/>
          <w:lang w:val="es-ES_tradnl"/>
        </w:rPr>
        <w:t>.</w:t>
      </w:r>
      <w:r w:rsidRPr="002E7918">
        <w:rPr>
          <w:rFonts w:ascii="Arial" w:hAnsi="Arial" w:cs="Arial"/>
          <w:lang w:val="es-ES_tradnl"/>
        </w:rPr>
        <w:t xml:space="preserve">  </w:t>
      </w:r>
    </w:p>
    <w:p w14:paraId="0BAF43D9" w14:textId="77777777" w:rsidR="002E7918" w:rsidRDefault="002E7918" w:rsidP="002E7918">
      <w:pPr>
        <w:jc w:val="both"/>
        <w:rPr>
          <w:rFonts w:ascii="Arial" w:hAnsi="Arial" w:cs="Arial"/>
          <w:lang w:val="es-ES_tradnl"/>
        </w:rPr>
      </w:pPr>
    </w:p>
    <w:p w14:paraId="75080911" w14:textId="6989BCE5" w:rsidR="00B96678" w:rsidRPr="00612D9A" w:rsidRDefault="00612D9A" w:rsidP="00612D9A">
      <w:pPr>
        <w:pStyle w:val="Prrafodelista"/>
        <w:numPr>
          <w:ilvl w:val="0"/>
          <w:numId w:val="12"/>
        </w:numPr>
        <w:jc w:val="both"/>
        <w:rPr>
          <w:rFonts w:ascii="Arial" w:hAnsi="Arial" w:cs="Arial"/>
          <w:b/>
          <w:bCs/>
          <w:i/>
          <w:iCs/>
          <w:u w:val="single"/>
          <w:lang w:val="es-ES_tradnl"/>
        </w:rPr>
      </w:pPr>
      <w:r>
        <w:rPr>
          <w:rFonts w:ascii="Arial" w:eastAsia="Times New Roman" w:hAnsi="Arial" w:cs="Arial"/>
          <w:b/>
          <w:bCs/>
          <w:i/>
          <w:iCs/>
          <w:kern w:val="0"/>
          <w:u w:val="single"/>
          <w:lang w:eastAsia="es-ES_tradnl"/>
          <w14:ligatures w14:val="none"/>
        </w:rPr>
        <w:t>“C</w:t>
      </w:r>
      <w:r w:rsidRPr="00612D9A">
        <w:rPr>
          <w:rFonts w:ascii="Arial" w:eastAsia="Times New Roman" w:hAnsi="Arial" w:cs="Arial"/>
          <w:b/>
          <w:bCs/>
          <w:i/>
          <w:iCs/>
          <w:kern w:val="0"/>
          <w:u w:val="single"/>
          <w:lang w:eastAsia="es-ES_tradnl"/>
          <w14:ligatures w14:val="none"/>
        </w:rPr>
        <w:t>omplejidad técnica</w:t>
      </w:r>
      <w:r>
        <w:rPr>
          <w:rFonts w:ascii="Arial" w:eastAsia="Times New Roman" w:hAnsi="Arial" w:cs="Arial"/>
          <w:b/>
          <w:bCs/>
          <w:i/>
          <w:iCs/>
          <w:kern w:val="0"/>
          <w:u w:val="single"/>
          <w:lang w:eastAsia="es-ES_tradnl"/>
          <w14:ligatures w14:val="none"/>
        </w:rPr>
        <w:t>.”</w:t>
      </w:r>
    </w:p>
    <w:p w14:paraId="5CEC8673" w14:textId="77777777" w:rsidR="00B96678" w:rsidRDefault="00B96678" w:rsidP="002E7918">
      <w:pPr>
        <w:jc w:val="both"/>
        <w:rPr>
          <w:rFonts w:ascii="Arial" w:hAnsi="Arial" w:cs="Arial"/>
          <w:lang w:val="es-ES_tradnl"/>
        </w:rPr>
      </w:pPr>
    </w:p>
    <w:p w14:paraId="7D2CCFDD" w14:textId="64207A2D" w:rsidR="002E7918" w:rsidRPr="00612D9A" w:rsidRDefault="002E7918" w:rsidP="002E7918">
      <w:pPr>
        <w:jc w:val="both"/>
        <w:rPr>
          <w:rFonts w:ascii="Arial" w:hAnsi="Arial" w:cs="Arial"/>
          <w:lang w:val="es-ES_tradnl"/>
        </w:rPr>
      </w:pPr>
      <w:r>
        <w:rPr>
          <w:rFonts w:ascii="Arial" w:hAnsi="Arial" w:cs="Arial"/>
          <w:lang w:val="es-ES_tradnl"/>
        </w:rPr>
        <w:t>Con relación a la “c</w:t>
      </w:r>
      <w:r w:rsidRPr="002E7918">
        <w:rPr>
          <w:rFonts w:ascii="Arial" w:hAnsi="Arial" w:cs="Arial"/>
          <w:lang w:val="es-ES_tradnl"/>
        </w:rPr>
        <w:t>omplejidad técnica y operativa” como factor de desequilibrio</w:t>
      </w:r>
      <w:r>
        <w:rPr>
          <w:rFonts w:ascii="Arial" w:hAnsi="Arial" w:cs="Arial"/>
          <w:lang w:val="es-ES_tradnl"/>
        </w:rPr>
        <w:t xml:space="preserve"> </w:t>
      </w:r>
      <w:r w:rsidRPr="002E7918">
        <w:rPr>
          <w:rFonts w:ascii="Arial" w:hAnsi="Arial" w:cs="Arial"/>
          <w:lang w:val="es-ES_tradnl"/>
        </w:rPr>
        <w:t>descrita por el contratista no constituye un hecho sobreviniente</w:t>
      </w:r>
      <w:r w:rsidR="00612D9A">
        <w:rPr>
          <w:rFonts w:ascii="Arial" w:hAnsi="Arial" w:cs="Arial"/>
          <w:lang w:val="es-ES_tradnl"/>
        </w:rPr>
        <w:t>,</w:t>
      </w:r>
      <w:r w:rsidRPr="002E7918">
        <w:rPr>
          <w:rFonts w:ascii="Arial" w:hAnsi="Arial" w:cs="Arial"/>
          <w:lang w:val="es-ES_tradnl"/>
        </w:rPr>
        <w:t xml:space="preserve"> ni ajeno al contrato: corresponde al núcleo del objeto contractual y a actividades expresamente pactadas (alistamiento, organización, digitalización, indexación, control de calidad, etc.), con obligaciones específicas del contratista de disponer la infraestructura, </w:t>
      </w:r>
      <w:r w:rsidRPr="00612D9A">
        <w:rPr>
          <w:rFonts w:ascii="Arial" w:hAnsi="Arial" w:cs="Arial"/>
          <w:lang w:val="es-ES_tradnl"/>
        </w:rPr>
        <w:t>equipos, personal idóneo, cronograma y plan de contingencia.</w:t>
      </w:r>
    </w:p>
    <w:p w14:paraId="3B2F4DBE" w14:textId="77777777" w:rsidR="002E7918" w:rsidRPr="00612D9A" w:rsidRDefault="002E7918" w:rsidP="002E7918">
      <w:pPr>
        <w:jc w:val="both"/>
        <w:rPr>
          <w:rFonts w:ascii="Arial" w:hAnsi="Arial" w:cs="Arial"/>
          <w:lang w:val="es-ES_tradnl"/>
        </w:rPr>
      </w:pPr>
    </w:p>
    <w:p w14:paraId="7DF7F6AB" w14:textId="423022D2" w:rsidR="00612D9A" w:rsidRPr="00612D9A" w:rsidRDefault="002E7918" w:rsidP="00612D9A">
      <w:pPr>
        <w:jc w:val="both"/>
        <w:rPr>
          <w:rFonts w:ascii="Arial" w:hAnsi="Arial" w:cs="Arial"/>
          <w:lang w:val="es-CO"/>
        </w:rPr>
      </w:pPr>
      <w:r w:rsidRPr="00612D9A">
        <w:rPr>
          <w:rFonts w:ascii="Arial" w:hAnsi="Arial" w:cs="Arial"/>
          <w:lang w:val="es-ES_tradnl"/>
        </w:rPr>
        <w:t xml:space="preserve">En consecuencia, esa complejidad no habilita por sí misma el </w:t>
      </w:r>
      <w:r w:rsidR="00612D9A" w:rsidRPr="00612D9A">
        <w:rPr>
          <w:rFonts w:ascii="Arial" w:hAnsi="Arial" w:cs="Arial"/>
          <w:lang w:val="es-CO"/>
        </w:rPr>
        <w:t xml:space="preserve">restablecimiento del equilibrio económico, debe acreditarse un evento imprevisible, irresistible y no imputable al contratista, así como su nexo causal con la afectación económica. No obstante, </w:t>
      </w:r>
      <w:r w:rsidR="00612D9A">
        <w:rPr>
          <w:rFonts w:ascii="Arial" w:hAnsi="Arial" w:cs="Arial"/>
          <w:lang w:val="es-CO"/>
        </w:rPr>
        <w:t>los informes</w:t>
      </w:r>
      <w:r w:rsidR="00612D9A" w:rsidRPr="00612D9A">
        <w:rPr>
          <w:rFonts w:ascii="Arial" w:hAnsi="Arial" w:cs="Arial"/>
          <w:lang w:val="es-CO"/>
        </w:rPr>
        <w:t xml:space="preserve"> </w:t>
      </w:r>
      <w:r w:rsidR="00612D9A">
        <w:rPr>
          <w:rFonts w:ascii="Arial" w:hAnsi="Arial" w:cs="Arial"/>
          <w:lang w:val="es-CO"/>
        </w:rPr>
        <w:t xml:space="preserve">de supervisión </w:t>
      </w:r>
      <w:r w:rsidR="00612D9A" w:rsidRPr="00612D9A">
        <w:rPr>
          <w:rFonts w:ascii="Arial" w:hAnsi="Arial" w:cs="Arial"/>
          <w:lang w:val="es-CO"/>
        </w:rPr>
        <w:t>técnic</w:t>
      </w:r>
      <w:r w:rsidR="00612D9A">
        <w:rPr>
          <w:rFonts w:ascii="Arial" w:hAnsi="Arial" w:cs="Arial"/>
          <w:lang w:val="es-CO"/>
        </w:rPr>
        <w:t>a</w:t>
      </w:r>
      <w:r w:rsidR="00612D9A" w:rsidRPr="00612D9A">
        <w:rPr>
          <w:rFonts w:ascii="Arial" w:hAnsi="Arial" w:cs="Arial"/>
          <w:lang w:val="es-CO"/>
        </w:rPr>
        <w:t xml:space="preserve"> evidencia que la ejecución se vio afectada por incumplimientos frente a los cronogramas</w:t>
      </w:r>
      <w:r w:rsidR="00612D9A">
        <w:rPr>
          <w:rFonts w:ascii="Arial" w:hAnsi="Arial" w:cs="Arial"/>
          <w:lang w:val="es-CO"/>
        </w:rPr>
        <w:t xml:space="preserve"> </w:t>
      </w:r>
      <w:r w:rsidR="00612D9A">
        <w:rPr>
          <w:rFonts w:ascii="Arial" w:hAnsi="Arial" w:cs="Arial"/>
          <w:lang w:val="es-CO"/>
        </w:rPr>
        <w:lastRenderedPageBreak/>
        <w:t>planteado por el contratista</w:t>
      </w:r>
      <w:r w:rsidR="00612D9A" w:rsidRPr="00612D9A">
        <w:rPr>
          <w:rFonts w:ascii="Arial" w:hAnsi="Arial" w:cs="Arial"/>
          <w:lang w:val="es-CO"/>
        </w:rPr>
        <w:t>, entregas incompletas y reprocesos derivados de fallas técnicas, circunstancias plenamente imputables al contratista.</w:t>
      </w:r>
    </w:p>
    <w:p w14:paraId="6FD1ABE8" w14:textId="2CBEED17" w:rsidR="002E7918" w:rsidRDefault="002E7918" w:rsidP="002E7918">
      <w:pPr>
        <w:jc w:val="both"/>
        <w:rPr>
          <w:rFonts w:ascii="Arial" w:hAnsi="Arial" w:cs="Arial"/>
          <w:lang w:val="es-ES_tradnl"/>
        </w:rPr>
      </w:pPr>
    </w:p>
    <w:p w14:paraId="30FC5B07" w14:textId="7C58117B" w:rsidR="004B5A8E" w:rsidRPr="00612D9A" w:rsidRDefault="00612D9A" w:rsidP="002E7918">
      <w:pPr>
        <w:pStyle w:val="Prrafodelista"/>
        <w:numPr>
          <w:ilvl w:val="0"/>
          <w:numId w:val="12"/>
        </w:numPr>
        <w:jc w:val="both"/>
        <w:rPr>
          <w:rFonts w:ascii="Arial" w:hAnsi="Arial" w:cs="Arial"/>
          <w:lang w:val="es-ES_tradnl"/>
        </w:rPr>
      </w:pPr>
      <w:r>
        <w:rPr>
          <w:rFonts w:ascii="Arial" w:eastAsia="Times New Roman" w:hAnsi="Arial" w:cs="Arial"/>
          <w:b/>
          <w:bCs/>
          <w:i/>
          <w:iCs/>
          <w:kern w:val="0"/>
          <w:u w:val="single"/>
          <w:lang w:eastAsia="es-ES_tradnl"/>
          <w14:ligatures w14:val="none"/>
        </w:rPr>
        <w:t>“A</w:t>
      </w:r>
      <w:r w:rsidRPr="00612D9A">
        <w:rPr>
          <w:rFonts w:ascii="Arial" w:eastAsia="Times New Roman" w:hAnsi="Arial" w:cs="Arial"/>
          <w:b/>
          <w:bCs/>
          <w:i/>
          <w:iCs/>
          <w:kern w:val="0"/>
          <w:u w:val="single"/>
          <w:lang w:eastAsia="es-ES_tradnl"/>
          <w14:ligatures w14:val="none"/>
        </w:rPr>
        <w:t>usencia de lineamientos claros en el control de calidad del producto.”</w:t>
      </w:r>
    </w:p>
    <w:p w14:paraId="4657D45E" w14:textId="77777777" w:rsidR="00612D9A" w:rsidRPr="00612D9A" w:rsidRDefault="00612D9A" w:rsidP="00612D9A">
      <w:pPr>
        <w:ind w:left="360"/>
        <w:jc w:val="both"/>
        <w:rPr>
          <w:rFonts w:ascii="Arial" w:hAnsi="Arial" w:cs="Arial"/>
          <w:lang w:val="es-ES_tradnl"/>
        </w:rPr>
      </w:pPr>
    </w:p>
    <w:p w14:paraId="1BA20125" w14:textId="612A26EA" w:rsidR="002E7918" w:rsidRDefault="002E7918" w:rsidP="002E7918">
      <w:pPr>
        <w:jc w:val="both"/>
        <w:rPr>
          <w:rFonts w:ascii="Arial" w:hAnsi="Arial" w:cs="Arial"/>
          <w:lang w:val="es-ES_tradnl"/>
        </w:rPr>
      </w:pPr>
      <w:r w:rsidRPr="002E7918">
        <w:rPr>
          <w:rFonts w:ascii="Arial" w:hAnsi="Arial" w:cs="Arial"/>
          <w:lang w:val="es-ES_tradnl"/>
        </w:rPr>
        <w:t xml:space="preserve">De acuerdo con lo manifestado por </w:t>
      </w:r>
      <w:proofErr w:type="spellStart"/>
      <w:r w:rsidRPr="002E7918">
        <w:rPr>
          <w:rFonts w:ascii="Arial" w:hAnsi="Arial" w:cs="Arial"/>
          <w:lang w:val="es-ES_tradnl"/>
        </w:rPr>
        <w:t>Nexura</w:t>
      </w:r>
      <w:proofErr w:type="spellEnd"/>
      <w:r w:rsidRPr="002E7918">
        <w:rPr>
          <w:rFonts w:ascii="Arial" w:hAnsi="Arial" w:cs="Arial"/>
          <w:lang w:val="es-ES_tradnl"/>
        </w:rPr>
        <w:t xml:space="preserve">. en relación con la presunta ausencia de lineamientos claros en el control de calidad, así como con la afirmación de que la </w:t>
      </w:r>
      <w:r w:rsidR="00612D9A">
        <w:rPr>
          <w:rFonts w:ascii="Arial" w:hAnsi="Arial" w:cs="Arial"/>
          <w:lang w:val="es-ES_tradnl"/>
        </w:rPr>
        <w:t xml:space="preserve">SNR </w:t>
      </w:r>
      <w:r w:rsidRPr="002E7918">
        <w:rPr>
          <w:rFonts w:ascii="Arial" w:hAnsi="Arial" w:cs="Arial"/>
          <w:lang w:val="es-ES_tradnl"/>
        </w:rPr>
        <w:t>no implementó dichos lineamientos o que el control de calidad operó bajo criterios “variables o discrecionales”, tal</w:t>
      </w:r>
      <w:r w:rsidR="00612D9A">
        <w:rPr>
          <w:rFonts w:ascii="Arial" w:hAnsi="Arial" w:cs="Arial"/>
          <w:lang w:val="es-ES_tradnl"/>
        </w:rPr>
        <w:t>es afirmaciones</w:t>
      </w:r>
      <w:r w:rsidRPr="002E7918">
        <w:rPr>
          <w:rFonts w:ascii="Arial" w:hAnsi="Arial" w:cs="Arial"/>
          <w:lang w:val="es-ES_tradnl"/>
        </w:rPr>
        <w:t xml:space="preserve"> no se encuentran soportadas</w:t>
      </w:r>
      <w:r>
        <w:rPr>
          <w:rFonts w:ascii="Arial" w:hAnsi="Arial" w:cs="Arial"/>
          <w:lang w:val="es-ES_tradnl"/>
        </w:rPr>
        <w:t>, ya que en las diferentes mesas técnicas se presentó a Nexura Internacional SAS como</w:t>
      </w:r>
      <w:r w:rsidRPr="002E7918">
        <w:rPr>
          <w:rFonts w:ascii="Arial" w:hAnsi="Arial" w:cs="Arial"/>
          <w:lang w:val="es-ES_tradnl"/>
        </w:rPr>
        <w:t xml:space="preserve"> evidencia</w:t>
      </w:r>
      <w:r>
        <w:rPr>
          <w:rFonts w:ascii="Arial" w:hAnsi="Arial" w:cs="Arial"/>
          <w:lang w:val="es-ES_tradnl"/>
        </w:rPr>
        <w:t xml:space="preserve"> los siguiente:</w:t>
      </w:r>
    </w:p>
    <w:p w14:paraId="3DF755B0" w14:textId="77777777" w:rsidR="002E7918" w:rsidRPr="002E7918" w:rsidRDefault="002E7918" w:rsidP="002E7918">
      <w:pPr>
        <w:jc w:val="both"/>
        <w:rPr>
          <w:rFonts w:ascii="Arial" w:hAnsi="Arial" w:cs="Arial"/>
          <w:lang w:val="es-ES_tradnl"/>
        </w:rPr>
      </w:pPr>
    </w:p>
    <w:p w14:paraId="3112B88A" w14:textId="01B4F062" w:rsidR="002E7918" w:rsidRPr="002E7918" w:rsidRDefault="002E7918" w:rsidP="002E7918">
      <w:pPr>
        <w:pStyle w:val="Prrafodelista"/>
        <w:numPr>
          <w:ilvl w:val="0"/>
          <w:numId w:val="2"/>
        </w:numPr>
        <w:jc w:val="both"/>
        <w:rPr>
          <w:rFonts w:ascii="Arial" w:hAnsi="Arial" w:cs="Arial"/>
          <w:lang w:val="es-ES_tradnl"/>
        </w:rPr>
      </w:pPr>
      <w:r w:rsidRPr="002E7918">
        <w:rPr>
          <w:rFonts w:ascii="Arial" w:hAnsi="Arial" w:cs="Arial"/>
          <w:lang w:val="es-ES_tradnl"/>
        </w:rPr>
        <w:t>El control de calidad se realiza con base en el anexo técnico y los Acuerdos de Nivel de Servicio (ANS), y que la responsabilidad del control de calidad recae sobre el contratista, sin perjuicio de la validación muestral realizada por la supervisión</w:t>
      </w:r>
      <w:r>
        <w:rPr>
          <w:rFonts w:ascii="Arial" w:hAnsi="Arial" w:cs="Arial"/>
          <w:lang w:val="es-ES_tradnl"/>
        </w:rPr>
        <w:t>.</w:t>
      </w:r>
    </w:p>
    <w:p w14:paraId="363E66A4" w14:textId="0DF3FB10" w:rsidR="002E7918" w:rsidRPr="002E7918" w:rsidRDefault="002E7918" w:rsidP="002E7918">
      <w:pPr>
        <w:pStyle w:val="Prrafodelista"/>
        <w:numPr>
          <w:ilvl w:val="0"/>
          <w:numId w:val="2"/>
        </w:numPr>
        <w:jc w:val="both"/>
        <w:rPr>
          <w:rFonts w:ascii="Arial" w:hAnsi="Arial" w:cs="Arial"/>
          <w:lang w:val="es-ES_tradnl"/>
        </w:rPr>
      </w:pPr>
      <w:r w:rsidRPr="002E7918">
        <w:rPr>
          <w:rFonts w:ascii="Arial" w:hAnsi="Arial" w:cs="Arial"/>
          <w:lang w:val="es-ES_tradnl"/>
        </w:rPr>
        <w:t>En múltiples oportunidades se identificaron rechazos por incumplimiento de requisitos formales y técnicos (p. ej., falta de sellado de PDF, no entrega de FUID, ausencia de hoja de control conforme al formato institucional), lo cual no corresponde a “criterios variables”, sino a exigencias contractuales objetivas.</w:t>
      </w:r>
    </w:p>
    <w:p w14:paraId="12F4799F" w14:textId="457E2F76" w:rsidR="002E7918" w:rsidRPr="002E7918" w:rsidRDefault="002E7918" w:rsidP="002E7918">
      <w:pPr>
        <w:pStyle w:val="Prrafodelista"/>
        <w:numPr>
          <w:ilvl w:val="0"/>
          <w:numId w:val="2"/>
        </w:numPr>
        <w:jc w:val="both"/>
        <w:rPr>
          <w:rFonts w:ascii="Arial" w:hAnsi="Arial" w:cs="Arial"/>
          <w:lang w:val="es-ES_tradnl"/>
        </w:rPr>
      </w:pPr>
      <w:r w:rsidRPr="002E7918">
        <w:rPr>
          <w:rFonts w:ascii="Arial" w:hAnsi="Arial" w:cs="Arial"/>
          <w:lang w:val="es-ES_tradnl"/>
        </w:rPr>
        <w:t>Respecto de digitalización, el contratista no inició el proceso oportunamente y que incluso en reuniones (octubre 2024) reconoció no haber iniciado la digitalización por no presentar protocolos/planes requeridos; aun cuando la SNR remitió el protocolo el 25/10/2024, el contratista no ejecutó los ajustes en los tiempos, generando retrasos atribuibles a su gestión.</w:t>
      </w:r>
    </w:p>
    <w:p w14:paraId="47EA8CA6" w14:textId="77777777" w:rsidR="002E7918" w:rsidRPr="002E7918" w:rsidRDefault="002E7918" w:rsidP="002E7918">
      <w:pPr>
        <w:jc w:val="both"/>
        <w:rPr>
          <w:rFonts w:ascii="Arial" w:hAnsi="Arial" w:cs="Arial"/>
          <w:lang w:val="es-ES_tradnl"/>
        </w:rPr>
      </w:pPr>
    </w:p>
    <w:p w14:paraId="3F13B659" w14:textId="5E3EBDEE" w:rsidR="002E7918" w:rsidRDefault="002E7918" w:rsidP="002E7918">
      <w:pPr>
        <w:jc w:val="both"/>
        <w:rPr>
          <w:rFonts w:ascii="Arial" w:hAnsi="Arial" w:cs="Arial"/>
          <w:lang w:val="es-ES_tradnl"/>
        </w:rPr>
      </w:pPr>
      <w:r w:rsidRPr="00E26109">
        <w:rPr>
          <w:rFonts w:ascii="Arial" w:hAnsi="Arial" w:cs="Arial"/>
          <w:lang w:val="es-ES_tradnl"/>
        </w:rPr>
        <w:t xml:space="preserve">Así, la diferencia entre “ejecutado” y “aprobado” que </w:t>
      </w:r>
      <w:r w:rsidR="00612D9A" w:rsidRPr="00E26109">
        <w:rPr>
          <w:rFonts w:ascii="Arial" w:hAnsi="Arial" w:cs="Arial"/>
          <w:lang w:val="es-ES_tradnl"/>
        </w:rPr>
        <w:t>indica</w:t>
      </w:r>
      <w:r w:rsidRPr="00E26109">
        <w:rPr>
          <w:rFonts w:ascii="Arial" w:hAnsi="Arial" w:cs="Arial"/>
          <w:lang w:val="es-ES_tradnl"/>
        </w:rPr>
        <w:t xml:space="preserve"> </w:t>
      </w:r>
      <w:proofErr w:type="spellStart"/>
      <w:r w:rsidRPr="00E26109">
        <w:rPr>
          <w:rFonts w:ascii="Arial" w:hAnsi="Arial" w:cs="Arial"/>
          <w:lang w:val="es-ES_tradnl"/>
        </w:rPr>
        <w:t>Nexura</w:t>
      </w:r>
      <w:proofErr w:type="spellEnd"/>
      <w:r w:rsidRPr="00E26109">
        <w:rPr>
          <w:rFonts w:ascii="Arial" w:hAnsi="Arial" w:cs="Arial"/>
          <w:lang w:val="es-ES_tradnl"/>
        </w:rPr>
        <w:t xml:space="preserve"> no se explica por arbitrariedad de la Entidad, sino por: entregas tardías o incompletas, rechazos por incumplimiento de formatos</w:t>
      </w:r>
      <w:r w:rsidR="00612D9A" w:rsidRPr="00E26109">
        <w:rPr>
          <w:rFonts w:ascii="Arial" w:hAnsi="Arial" w:cs="Arial"/>
          <w:lang w:val="es-ES_tradnl"/>
        </w:rPr>
        <w:t xml:space="preserve"> e </w:t>
      </w:r>
      <w:r w:rsidRPr="00E26109">
        <w:rPr>
          <w:rFonts w:ascii="Arial" w:hAnsi="Arial" w:cs="Arial"/>
          <w:lang w:val="es-ES_tradnl"/>
        </w:rPr>
        <w:t>insumos, y reprocesos por inconsistencias técnicas detectadas en control de calidad</w:t>
      </w:r>
      <w:r w:rsidR="00612D9A" w:rsidRPr="00E26109">
        <w:rPr>
          <w:rFonts w:ascii="Arial" w:hAnsi="Arial" w:cs="Arial"/>
          <w:lang w:val="es-ES_tradnl"/>
        </w:rPr>
        <w:t>, es de aclarar</w:t>
      </w:r>
      <w:r w:rsidR="00612D9A">
        <w:rPr>
          <w:rFonts w:ascii="Arial" w:hAnsi="Arial" w:cs="Arial"/>
          <w:lang w:val="es-ES_tradnl"/>
        </w:rPr>
        <w:t xml:space="preserve"> </w:t>
      </w:r>
    </w:p>
    <w:p w14:paraId="1DF7EE1A" w14:textId="77777777" w:rsidR="002E7918" w:rsidRDefault="002E7918" w:rsidP="002E7918">
      <w:pPr>
        <w:jc w:val="both"/>
        <w:rPr>
          <w:rFonts w:ascii="Arial" w:hAnsi="Arial" w:cs="Arial"/>
          <w:lang w:val="es-ES_tradnl"/>
        </w:rPr>
      </w:pPr>
    </w:p>
    <w:p w14:paraId="19469B62" w14:textId="633D468E" w:rsidR="00457063" w:rsidRPr="00EF28C2" w:rsidRDefault="00EF28C2" w:rsidP="00852D6B">
      <w:pPr>
        <w:pStyle w:val="Prrafodelista"/>
        <w:numPr>
          <w:ilvl w:val="0"/>
          <w:numId w:val="12"/>
        </w:numPr>
        <w:jc w:val="both"/>
        <w:rPr>
          <w:rFonts w:ascii="Arial" w:eastAsia="Times New Roman" w:hAnsi="Arial" w:cs="Arial"/>
          <w:b/>
          <w:bCs/>
          <w:i/>
          <w:iCs/>
          <w:kern w:val="0"/>
          <w:u w:val="single"/>
          <w:lang w:eastAsia="es-ES_tradnl"/>
          <w14:ligatures w14:val="none"/>
        </w:rPr>
      </w:pPr>
      <w:r>
        <w:rPr>
          <w:rFonts w:ascii="Arial" w:eastAsia="Times New Roman" w:hAnsi="Arial" w:cs="Arial"/>
          <w:b/>
          <w:bCs/>
          <w:i/>
          <w:iCs/>
          <w:kern w:val="0"/>
          <w:u w:val="single"/>
          <w:lang w:eastAsia="es-ES_tradnl"/>
          <w14:ligatures w14:val="none"/>
        </w:rPr>
        <w:t>…C</w:t>
      </w:r>
      <w:r w:rsidRPr="00EF28C2">
        <w:rPr>
          <w:rFonts w:ascii="Arial" w:eastAsia="Times New Roman" w:hAnsi="Arial" w:cs="Arial"/>
          <w:b/>
          <w:bCs/>
          <w:i/>
          <w:iCs/>
          <w:kern w:val="0"/>
          <w:u w:val="single"/>
          <w:lang w:eastAsia="es-ES_tradnl"/>
          <w14:ligatures w14:val="none"/>
        </w:rPr>
        <w:t xml:space="preserve">ondiciones primarias del estado real en que se encontraban los documentos objeto de intervención </w:t>
      </w:r>
      <w:r>
        <w:rPr>
          <w:rFonts w:ascii="Arial" w:eastAsia="Times New Roman" w:hAnsi="Arial" w:cs="Arial"/>
          <w:b/>
          <w:bCs/>
          <w:i/>
          <w:iCs/>
          <w:kern w:val="0"/>
          <w:u w:val="single"/>
          <w:lang w:eastAsia="es-ES_tradnl"/>
          <w14:ligatures w14:val="none"/>
        </w:rPr>
        <w:t>…</w:t>
      </w:r>
      <w:r w:rsidRPr="00EF28C2">
        <w:rPr>
          <w:rFonts w:ascii="Arial" w:eastAsia="Times New Roman" w:hAnsi="Arial" w:cs="Arial"/>
          <w:b/>
          <w:bCs/>
          <w:i/>
          <w:iCs/>
          <w:kern w:val="0"/>
          <w:u w:val="single"/>
          <w:lang w:eastAsia="es-ES_tradnl"/>
          <w14:ligatures w14:val="none"/>
        </w:rPr>
        <w:t xml:space="preserve"> </w:t>
      </w:r>
    </w:p>
    <w:p w14:paraId="257BF972" w14:textId="77777777" w:rsidR="00457063" w:rsidRDefault="00457063" w:rsidP="002E7918">
      <w:pPr>
        <w:jc w:val="both"/>
        <w:rPr>
          <w:rFonts w:ascii="Arial" w:hAnsi="Arial" w:cs="Arial"/>
          <w:lang w:val="es-ES_tradnl"/>
        </w:rPr>
      </w:pPr>
    </w:p>
    <w:p w14:paraId="18E66013" w14:textId="77777777" w:rsidR="005535AD" w:rsidRPr="005535AD" w:rsidRDefault="005535AD" w:rsidP="005535AD">
      <w:pPr>
        <w:jc w:val="both"/>
        <w:rPr>
          <w:rFonts w:ascii="Arial" w:hAnsi="Arial" w:cs="Arial"/>
          <w:lang w:val="es-CO"/>
        </w:rPr>
      </w:pPr>
      <w:r w:rsidRPr="005535AD">
        <w:rPr>
          <w:rFonts w:ascii="Arial" w:hAnsi="Arial" w:cs="Arial"/>
          <w:lang w:val="es-CO"/>
        </w:rPr>
        <w:t>Por otra parte, el contratista sostiene que el deterioro y el riesgo biológico del material documental eran imprevisibles y no fueron advertidos oportunamente. Sin embargo, para efectos de un eventual restablecimiento del equilibrio económico, no basta con alegar la existencia de condiciones adversas. En la fase de alistamiento, y conforme a lo dispuesto en el anexo técnico, correspondía al contratista identificar el material contaminado y proceder a su aislamiento, lo que le habría permitido estructurar un plan de trabajo específico para su tratamiento desde el momento de su recepción en las instalaciones de Bogotá.</w:t>
      </w:r>
    </w:p>
    <w:p w14:paraId="590081E2" w14:textId="77777777" w:rsidR="005535AD" w:rsidRDefault="005535AD" w:rsidP="005535AD">
      <w:pPr>
        <w:jc w:val="both"/>
        <w:rPr>
          <w:rFonts w:ascii="Arial" w:hAnsi="Arial" w:cs="Arial"/>
          <w:lang w:val="es-CO"/>
        </w:rPr>
      </w:pPr>
      <w:r w:rsidRPr="005535AD">
        <w:rPr>
          <w:rFonts w:ascii="Arial" w:hAnsi="Arial" w:cs="Arial"/>
          <w:lang w:val="es-CO"/>
        </w:rPr>
        <w:t xml:space="preserve">No obstante, de acuerdo con los registros y las actividades de apoyo a la supervisión, se evidenció que, a diciembre de 2024, dicho material permanecía aislado sin haber recibido intervención alguna. Adicionalmente, estos documentos fueron tratados únicamente en las fases finales del proyecto, sin observar los tiempos, procedimientos y acciones requeridas para el saneamiento </w:t>
      </w:r>
      <w:r w:rsidRPr="005535AD">
        <w:rPr>
          <w:rFonts w:ascii="Arial" w:hAnsi="Arial" w:cs="Arial"/>
          <w:lang w:val="es-CO"/>
        </w:rPr>
        <w:lastRenderedPageBreak/>
        <w:t>ambiental, ni la realización de los muestreos y la elaboración de los informes técnicos que deben respaldar este tipo de procesos.</w:t>
      </w:r>
    </w:p>
    <w:p w14:paraId="04BEEEE1" w14:textId="77777777" w:rsidR="005535AD" w:rsidRPr="005535AD" w:rsidRDefault="005535AD" w:rsidP="005535AD">
      <w:pPr>
        <w:jc w:val="both"/>
        <w:rPr>
          <w:rFonts w:ascii="Arial" w:hAnsi="Arial" w:cs="Arial"/>
          <w:lang w:val="es-CO"/>
        </w:rPr>
      </w:pPr>
    </w:p>
    <w:p w14:paraId="038391CC" w14:textId="77777777" w:rsidR="005535AD" w:rsidRDefault="005535AD" w:rsidP="005535AD">
      <w:pPr>
        <w:jc w:val="both"/>
        <w:rPr>
          <w:rFonts w:ascii="Arial" w:hAnsi="Arial" w:cs="Arial"/>
          <w:lang w:val="es-CO"/>
        </w:rPr>
      </w:pPr>
      <w:r w:rsidRPr="005535AD">
        <w:rPr>
          <w:rFonts w:ascii="Arial" w:hAnsi="Arial" w:cs="Arial"/>
          <w:lang w:val="es-CO"/>
        </w:rPr>
        <w:t>Lo anterior se ve corroborado por los retrasos presentados durante la etapa de alistamiento, asociados a la gestión operativa del contratista, tales como la ausencia de recurso humano en sitio, lo cual afectó el desarrollo del trabajo simultáneo con la Superintendencia y generó incluso la ampliación de las comisiones del personal institucional. En este sentido, los hechos descritos evidencian circunstancias atribuibles a la ejecución contractual del contratista, más que la ocurrencia de un evento externo, imprevisible e irresistible que habilite la aplicación de la teoría de la imprevisión.</w:t>
      </w:r>
    </w:p>
    <w:p w14:paraId="217B40C2" w14:textId="77777777" w:rsidR="005535AD" w:rsidRPr="005535AD" w:rsidRDefault="005535AD" w:rsidP="005535AD">
      <w:pPr>
        <w:jc w:val="both"/>
        <w:rPr>
          <w:rFonts w:ascii="Arial" w:hAnsi="Arial" w:cs="Arial"/>
          <w:lang w:val="es-CO"/>
        </w:rPr>
      </w:pPr>
    </w:p>
    <w:p w14:paraId="697CF8A7" w14:textId="353C6C54" w:rsidR="005535AD" w:rsidRPr="005535AD" w:rsidRDefault="005535AD" w:rsidP="005535AD">
      <w:pPr>
        <w:jc w:val="both"/>
        <w:rPr>
          <w:rFonts w:ascii="Arial" w:hAnsi="Arial" w:cs="Arial"/>
          <w:lang w:val="es-CO"/>
        </w:rPr>
      </w:pPr>
      <w:r w:rsidRPr="005535AD">
        <w:rPr>
          <w:rFonts w:ascii="Arial" w:hAnsi="Arial" w:cs="Arial"/>
          <w:lang w:val="es-CO"/>
        </w:rPr>
        <w:t xml:space="preserve">Finalmente, es importante precisar que los elementos específicos alegados por </w:t>
      </w:r>
      <w:proofErr w:type="spellStart"/>
      <w:r w:rsidRPr="005535AD">
        <w:rPr>
          <w:rFonts w:ascii="Arial" w:hAnsi="Arial" w:cs="Arial"/>
          <w:lang w:val="es-CO"/>
        </w:rPr>
        <w:t>Nexura</w:t>
      </w:r>
      <w:proofErr w:type="spellEnd"/>
      <w:r w:rsidRPr="005535AD">
        <w:rPr>
          <w:rFonts w:ascii="Arial" w:hAnsi="Arial" w:cs="Arial"/>
          <w:lang w:val="es-CO"/>
        </w:rPr>
        <w:t xml:space="preserve"> como el número de expedientes con biodeterioro, incapacidades médicas, informes microbiológicos, entre otros no se encuentran debidamente acreditados en el informe de presunto incumplimiento que soporta la actuación de la supervisión. En consecuencia, para que la Entidad pueda pronunciarse sobre dichos aspectos con el rigor técnico y probatorio correspondiente, resulta necesario que estos reposen en el expediente contractual con sus respectivos soportes completos, trazabilidad documental y análisis de imputabilidad y asignación de riesgos contractuales.</w:t>
      </w:r>
    </w:p>
    <w:p w14:paraId="6A039B50" w14:textId="77777777" w:rsidR="00E26109" w:rsidRPr="005535AD" w:rsidRDefault="00E26109" w:rsidP="002E7918">
      <w:pPr>
        <w:jc w:val="both"/>
        <w:rPr>
          <w:rFonts w:ascii="Arial" w:hAnsi="Arial" w:cs="Arial"/>
          <w:lang w:val="es-CO"/>
        </w:rPr>
      </w:pPr>
    </w:p>
    <w:p w14:paraId="68399ED3" w14:textId="4AF703FC" w:rsidR="00852D6B" w:rsidRPr="00E26109" w:rsidRDefault="00E26109" w:rsidP="00852D6B">
      <w:pPr>
        <w:pStyle w:val="Prrafodelista"/>
        <w:numPr>
          <w:ilvl w:val="0"/>
          <w:numId w:val="12"/>
        </w:numPr>
        <w:jc w:val="both"/>
        <w:rPr>
          <w:rFonts w:ascii="Arial" w:hAnsi="Arial" w:cs="Arial"/>
          <w:lang w:val="es-ES_tradnl"/>
        </w:rPr>
      </w:pPr>
      <w:r>
        <w:rPr>
          <w:rFonts w:ascii="Arial" w:hAnsi="Arial" w:cs="Arial"/>
          <w:b/>
          <w:bCs/>
          <w:i/>
          <w:iCs/>
          <w:u w:val="single"/>
          <w:lang w:val="es-ES_tradnl"/>
        </w:rPr>
        <w:t>…D</w:t>
      </w:r>
      <w:r w:rsidRPr="00E26109">
        <w:rPr>
          <w:rFonts w:ascii="Arial" w:hAnsi="Arial" w:cs="Arial"/>
          <w:b/>
          <w:bCs/>
          <w:i/>
          <w:iCs/>
          <w:u w:val="single"/>
          <w:lang w:val="es-ES_tradnl"/>
        </w:rPr>
        <w:t>ificultades técnicas en la digitalización por características del soporte documental</w:t>
      </w:r>
      <w:r>
        <w:rPr>
          <w:rFonts w:ascii="Arial" w:hAnsi="Arial" w:cs="Arial"/>
          <w:b/>
          <w:bCs/>
          <w:i/>
          <w:iCs/>
          <w:u w:val="single"/>
          <w:lang w:val="es-ES_tradnl"/>
        </w:rPr>
        <w:t>…</w:t>
      </w:r>
    </w:p>
    <w:p w14:paraId="6FF28499" w14:textId="77777777" w:rsidR="00E26109" w:rsidRPr="00E26109" w:rsidRDefault="00E26109" w:rsidP="00E26109">
      <w:pPr>
        <w:pStyle w:val="Prrafodelista"/>
        <w:jc w:val="both"/>
        <w:rPr>
          <w:rFonts w:ascii="Arial" w:hAnsi="Arial" w:cs="Arial"/>
          <w:lang w:val="es-ES_tradnl"/>
        </w:rPr>
      </w:pPr>
    </w:p>
    <w:p w14:paraId="61A1CCE7" w14:textId="77777777" w:rsidR="00F75878" w:rsidRDefault="00F75878" w:rsidP="00F75878">
      <w:pPr>
        <w:jc w:val="both"/>
        <w:rPr>
          <w:rFonts w:ascii="Arial" w:hAnsi="Arial" w:cs="Arial"/>
          <w:lang w:val="es-CO"/>
        </w:rPr>
      </w:pPr>
      <w:r w:rsidRPr="00F75878">
        <w:rPr>
          <w:rFonts w:ascii="Arial" w:hAnsi="Arial" w:cs="Arial"/>
          <w:lang w:val="es-CO"/>
        </w:rPr>
        <w:t xml:space="preserve">Así mismo, </w:t>
      </w:r>
      <w:proofErr w:type="spellStart"/>
      <w:r w:rsidRPr="00F75878">
        <w:rPr>
          <w:rFonts w:ascii="Arial" w:hAnsi="Arial" w:cs="Arial"/>
          <w:lang w:val="es-CO"/>
        </w:rPr>
        <w:t>Nexura</w:t>
      </w:r>
      <w:proofErr w:type="spellEnd"/>
      <w:r w:rsidRPr="00F75878">
        <w:rPr>
          <w:rFonts w:ascii="Arial" w:hAnsi="Arial" w:cs="Arial"/>
          <w:lang w:val="es-CO"/>
        </w:rPr>
        <w:t xml:space="preserve"> Internacional S.A.S. manifiesta en su comunicación que las dificultades técnicas presentadas en la digitalización fueron ocasionadas por las características del papel químico y del soporte documental. Frente a lo anterior, es preciso aclarar que las dificultades identificadas por la supervisión no estuvieron asociadas a la naturaleza del soporte físico, sino principalmente a situaciones atribuibles a la gestión operativa del contratista, entre ellas:</w:t>
      </w:r>
    </w:p>
    <w:p w14:paraId="146ED1E9" w14:textId="77777777" w:rsidR="00F75878" w:rsidRPr="00F75878" w:rsidRDefault="00F75878" w:rsidP="00F75878">
      <w:pPr>
        <w:jc w:val="both"/>
        <w:rPr>
          <w:rFonts w:ascii="Arial" w:hAnsi="Arial" w:cs="Arial"/>
          <w:lang w:val="es-CO"/>
        </w:rPr>
      </w:pPr>
    </w:p>
    <w:p w14:paraId="173EA392" w14:textId="77777777" w:rsidR="00F75878" w:rsidRPr="00F75878" w:rsidRDefault="00F75878" w:rsidP="00F75878">
      <w:pPr>
        <w:numPr>
          <w:ilvl w:val="0"/>
          <w:numId w:val="13"/>
        </w:numPr>
        <w:jc w:val="both"/>
        <w:rPr>
          <w:rFonts w:ascii="Arial" w:hAnsi="Arial" w:cs="Arial"/>
          <w:lang w:val="es-CO"/>
        </w:rPr>
      </w:pPr>
      <w:r w:rsidRPr="00F75878">
        <w:rPr>
          <w:rFonts w:ascii="Arial" w:hAnsi="Arial" w:cs="Arial"/>
          <w:lang w:val="es-CO"/>
        </w:rPr>
        <w:t>La gestión tardía e incompleta del proceso de digitalización, evidenciada en la ausencia de pruebas reales de captura durante octubre de 2024.</w:t>
      </w:r>
    </w:p>
    <w:p w14:paraId="5915CFDC" w14:textId="77777777" w:rsidR="00F75878" w:rsidRPr="00F75878" w:rsidRDefault="00F75878" w:rsidP="00F75878">
      <w:pPr>
        <w:numPr>
          <w:ilvl w:val="0"/>
          <w:numId w:val="13"/>
        </w:numPr>
        <w:jc w:val="both"/>
        <w:rPr>
          <w:rFonts w:ascii="Arial" w:hAnsi="Arial" w:cs="Arial"/>
          <w:lang w:val="es-CO"/>
        </w:rPr>
      </w:pPr>
      <w:r w:rsidRPr="00F75878">
        <w:rPr>
          <w:rFonts w:ascii="Arial" w:hAnsi="Arial" w:cs="Arial"/>
          <w:lang w:val="es-CO"/>
        </w:rPr>
        <w:t xml:space="preserve">La pérdida del trabajo de parametrización inicial de los escáneres, el cual había sido desarrollado con el acompañamiento del primer profesional del equipo mínimo designado por </w:t>
      </w:r>
      <w:proofErr w:type="spellStart"/>
      <w:r w:rsidRPr="00F75878">
        <w:rPr>
          <w:rFonts w:ascii="Arial" w:hAnsi="Arial" w:cs="Arial"/>
          <w:lang w:val="es-CO"/>
        </w:rPr>
        <w:t>Nexura</w:t>
      </w:r>
      <w:proofErr w:type="spellEnd"/>
      <w:r w:rsidRPr="00F75878">
        <w:rPr>
          <w:rFonts w:ascii="Arial" w:hAnsi="Arial" w:cs="Arial"/>
          <w:lang w:val="es-CO"/>
        </w:rPr>
        <w:t xml:space="preserve"> y avalado por la supervisión, garantizando que la configuración cumpliera los lineamientos establecidos en el anexo técnico.</w:t>
      </w:r>
    </w:p>
    <w:p w14:paraId="34D41120" w14:textId="68E58CE1" w:rsidR="00F75878" w:rsidRPr="00F75878" w:rsidRDefault="00F75878" w:rsidP="00F75878">
      <w:pPr>
        <w:numPr>
          <w:ilvl w:val="0"/>
          <w:numId w:val="13"/>
        </w:numPr>
        <w:jc w:val="both"/>
        <w:rPr>
          <w:rFonts w:ascii="Arial" w:hAnsi="Arial" w:cs="Arial"/>
          <w:lang w:val="es-CO"/>
        </w:rPr>
      </w:pPr>
      <w:r w:rsidRPr="00F75878">
        <w:rPr>
          <w:rFonts w:ascii="Arial" w:hAnsi="Arial" w:cs="Arial"/>
          <w:lang w:val="es-CO"/>
        </w:rPr>
        <w:t>El retiro de dicho profesional sin reemplazo inmediato, situación que dejó al contrato sin personal especializado en esta línea durante aproximadamente 3 meses, hecho que fue informado en reuniones de seguimiento y soportado mediante actas y comunicaciones electrónicas.</w:t>
      </w:r>
    </w:p>
    <w:p w14:paraId="46A1C92C" w14:textId="318E85DF" w:rsidR="00F75878" w:rsidRPr="00F75878" w:rsidRDefault="00F75878" w:rsidP="00F75878">
      <w:pPr>
        <w:numPr>
          <w:ilvl w:val="0"/>
          <w:numId w:val="13"/>
        </w:numPr>
        <w:jc w:val="both"/>
        <w:rPr>
          <w:rFonts w:ascii="Arial" w:hAnsi="Arial" w:cs="Arial"/>
          <w:lang w:val="es-CO"/>
        </w:rPr>
      </w:pPr>
      <w:r w:rsidRPr="00F75878">
        <w:rPr>
          <w:rFonts w:ascii="Arial" w:hAnsi="Arial" w:cs="Arial"/>
          <w:lang w:val="es-CO"/>
        </w:rPr>
        <w:t>La desaparición de las imágenes capturadas durante esta etapa inicial, circunstancia que obligó según lo informado por el segundo profesional en ingeniería de sistemas designado por el contratista a realizar nuevamente la captura total de los documentos, debido a inconvenientes internos de gestión del contratista.</w:t>
      </w:r>
    </w:p>
    <w:p w14:paraId="47AF80F0" w14:textId="77777777" w:rsidR="00F75878" w:rsidRPr="00F75878" w:rsidRDefault="00F75878" w:rsidP="00F75878">
      <w:pPr>
        <w:numPr>
          <w:ilvl w:val="0"/>
          <w:numId w:val="13"/>
        </w:numPr>
        <w:jc w:val="both"/>
        <w:rPr>
          <w:rFonts w:ascii="Arial" w:hAnsi="Arial" w:cs="Arial"/>
          <w:lang w:val="es-CO"/>
        </w:rPr>
      </w:pPr>
      <w:r w:rsidRPr="00F75878">
        <w:rPr>
          <w:rFonts w:ascii="Arial" w:hAnsi="Arial" w:cs="Arial"/>
          <w:lang w:val="es-CO"/>
        </w:rPr>
        <w:t xml:space="preserve">El cambio posterior de los equipos de escaneo por parte del contratista, lo cual implicó reiniciar procesos de capacitación y parametrización por </w:t>
      </w:r>
      <w:r w:rsidRPr="00F75878">
        <w:rPr>
          <w:rFonts w:ascii="Arial" w:hAnsi="Arial" w:cs="Arial"/>
          <w:lang w:val="es-CO"/>
        </w:rPr>
        <w:lastRenderedPageBreak/>
        <w:t>parte de la supervisión, dado que las nuevas referencias técnicas eran diferentes.</w:t>
      </w:r>
    </w:p>
    <w:p w14:paraId="115CBD4E" w14:textId="77777777" w:rsidR="00F75878" w:rsidRPr="00F75878" w:rsidRDefault="00F75878" w:rsidP="00F75878">
      <w:pPr>
        <w:ind w:left="720"/>
        <w:jc w:val="both"/>
        <w:rPr>
          <w:rFonts w:ascii="Arial" w:hAnsi="Arial" w:cs="Arial"/>
          <w:lang w:val="es-CO"/>
        </w:rPr>
      </w:pPr>
    </w:p>
    <w:p w14:paraId="32F25CDE" w14:textId="77777777" w:rsidR="00F75878" w:rsidRPr="00F75878" w:rsidRDefault="00F75878" w:rsidP="00F75878">
      <w:pPr>
        <w:jc w:val="both"/>
        <w:rPr>
          <w:rFonts w:ascii="Arial" w:hAnsi="Arial" w:cs="Arial"/>
          <w:lang w:val="es-CO"/>
        </w:rPr>
      </w:pPr>
      <w:r w:rsidRPr="00F75878">
        <w:rPr>
          <w:rFonts w:ascii="Arial" w:hAnsi="Arial" w:cs="Arial"/>
          <w:lang w:val="es-CO"/>
        </w:rPr>
        <w:t>Es importante señalar que, en todo momento, la supervisión brindó acompañamiento y orientación técnica permanente, sin que los cambios internos realizados por el contratista pudieran trasladarse como responsabilidad de la Entidad. En consecuencia, los reprocesos generados derivan exclusivamente de decisiones operativas del contratista.</w:t>
      </w:r>
    </w:p>
    <w:p w14:paraId="2FBFA5F7" w14:textId="77777777" w:rsidR="00F75878" w:rsidRPr="00F75878" w:rsidRDefault="00F75878" w:rsidP="00F75878">
      <w:pPr>
        <w:jc w:val="both"/>
        <w:rPr>
          <w:rFonts w:ascii="Arial" w:hAnsi="Arial" w:cs="Arial"/>
          <w:lang w:val="es-CO"/>
        </w:rPr>
      </w:pPr>
    </w:p>
    <w:p w14:paraId="16E176C9" w14:textId="77777777" w:rsidR="00F75878" w:rsidRPr="00F75878" w:rsidRDefault="00F75878" w:rsidP="00F75878">
      <w:pPr>
        <w:jc w:val="both"/>
        <w:rPr>
          <w:rFonts w:ascii="Arial" w:hAnsi="Arial" w:cs="Arial"/>
          <w:lang w:val="es-CO"/>
        </w:rPr>
      </w:pPr>
      <w:r w:rsidRPr="00F75878">
        <w:rPr>
          <w:rFonts w:ascii="Arial" w:hAnsi="Arial" w:cs="Arial"/>
          <w:lang w:val="es-CO"/>
        </w:rPr>
        <w:t>Adicionalmente, se encuentra documentado el no inicio efectivo del proceso en los tiempos programados y la entrega de pilotos que no cumplieron con los estándares de calidad exigidos, tales como presencia de líneas oscuras, errores de orientación de imagen, inconsistencias en la indexación y fallas en hojas de control, lo que generó devoluciones, reprocesos y retrasos imputables a la ejecución contractual.</w:t>
      </w:r>
    </w:p>
    <w:p w14:paraId="783DA9DF" w14:textId="77777777" w:rsidR="00F75878" w:rsidRPr="00F75878" w:rsidRDefault="00F75878" w:rsidP="00F75878">
      <w:pPr>
        <w:jc w:val="both"/>
        <w:rPr>
          <w:rFonts w:ascii="Arial" w:hAnsi="Arial" w:cs="Arial"/>
          <w:lang w:val="es-CO"/>
        </w:rPr>
      </w:pPr>
    </w:p>
    <w:p w14:paraId="6296B118" w14:textId="77777777" w:rsidR="00F75878" w:rsidRPr="00F75878" w:rsidRDefault="00F75878" w:rsidP="00F75878">
      <w:pPr>
        <w:jc w:val="both"/>
        <w:rPr>
          <w:rFonts w:ascii="Arial" w:hAnsi="Arial" w:cs="Arial"/>
          <w:lang w:val="es-CO"/>
        </w:rPr>
      </w:pPr>
      <w:r w:rsidRPr="00F75878">
        <w:rPr>
          <w:rFonts w:ascii="Arial" w:hAnsi="Arial" w:cs="Arial"/>
          <w:lang w:val="es-CO"/>
        </w:rPr>
        <w:t>En consecuencia, aun en el evento de que existieran particularidades en el soporte documental, ello no exonera al contratista de su obligación de: planear adecuadamente la operación, ajustar su capacidad técnica, implementar controles internos de calidad y entregar productos conformes dentro de las condiciones contractuales pactadas.</w:t>
      </w:r>
    </w:p>
    <w:p w14:paraId="63C082A0" w14:textId="77777777" w:rsidR="00F75878" w:rsidRPr="00F75878" w:rsidRDefault="00F75878" w:rsidP="00F75878">
      <w:pPr>
        <w:jc w:val="both"/>
        <w:rPr>
          <w:rFonts w:ascii="Arial" w:hAnsi="Arial" w:cs="Arial"/>
          <w:lang w:val="es-CO"/>
        </w:rPr>
      </w:pPr>
    </w:p>
    <w:p w14:paraId="4A14C8C6" w14:textId="77777777" w:rsidR="00F75878" w:rsidRPr="00F75878" w:rsidRDefault="00F75878" w:rsidP="00F75878">
      <w:pPr>
        <w:jc w:val="both"/>
        <w:rPr>
          <w:rFonts w:ascii="Arial" w:hAnsi="Arial" w:cs="Arial"/>
          <w:lang w:val="es-CO"/>
        </w:rPr>
      </w:pPr>
      <w:r w:rsidRPr="00F75878">
        <w:rPr>
          <w:rFonts w:ascii="Arial" w:hAnsi="Arial" w:cs="Arial"/>
          <w:lang w:val="es-CO"/>
        </w:rPr>
        <w:t>La evidencia documentada por la supervisión demuestra fallas de ejecución y reincidencias, incluso en lotes previamente aprobados de manera preliminar, lo cual desvirtúa la afirmación de que el origen de los retrasos y sobrecostos obedece exclusivamente al soporte físico, y, por tanto, no se configura un desequilibrio económico atribuible a la Entidad ni procede el reconocimiento de valores adicionales solicitados.</w:t>
      </w:r>
    </w:p>
    <w:p w14:paraId="3CE3565D" w14:textId="77777777" w:rsidR="00E743F5" w:rsidRDefault="00E743F5" w:rsidP="002E7918">
      <w:pPr>
        <w:jc w:val="both"/>
        <w:rPr>
          <w:rFonts w:ascii="Arial" w:hAnsi="Arial" w:cs="Arial"/>
          <w:lang w:val="es-ES_tradnl"/>
        </w:rPr>
      </w:pPr>
    </w:p>
    <w:p w14:paraId="0C1D29B8" w14:textId="3A295D3D" w:rsidR="00D7657A" w:rsidRPr="00D7657A" w:rsidRDefault="00D7657A" w:rsidP="00D7657A">
      <w:pPr>
        <w:pStyle w:val="Prrafodelista"/>
        <w:numPr>
          <w:ilvl w:val="0"/>
          <w:numId w:val="12"/>
        </w:numPr>
        <w:jc w:val="both"/>
        <w:rPr>
          <w:rFonts w:ascii="Arial" w:hAnsi="Arial" w:cs="Arial"/>
          <w:lang w:val="es-ES_tradnl"/>
        </w:rPr>
      </w:pPr>
      <w:r>
        <w:rPr>
          <w:rFonts w:ascii="Arial" w:hAnsi="Arial" w:cs="Arial"/>
          <w:b/>
          <w:bCs/>
          <w:i/>
          <w:iCs/>
          <w:u w:val="single"/>
          <w:lang w:val="es-ES_tradnl"/>
        </w:rPr>
        <w:t>“E</w:t>
      </w:r>
      <w:r w:rsidRPr="00852D6B">
        <w:rPr>
          <w:rFonts w:ascii="Arial" w:hAnsi="Arial" w:cs="Arial"/>
          <w:b/>
          <w:bCs/>
          <w:i/>
          <w:iCs/>
          <w:u w:val="single"/>
          <w:lang w:val="es-ES_tradnl"/>
        </w:rPr>
        <w:t>jecución de una cantidad de metros lineales (ml) mayor a la prevista en el contrato de prestación de servicios no. 2063 de 2024</w:t>
      </w:r>
      <w:r>
        <w:rPr>
          <w:rFonts w:ascii="Arial" w:hAnsi="Arial" w:cs="Arial"/>
          <w:b/>
          <w:bCs/>
          <w:i/>
          <w:iCs/>
          <w:u w:val="single"/>
          <w:lang w:val="es-ES_tradnl"/>
        </w:rPr>
        <w:t>.”</w:t>
      </w:r>
    </w:p>
    <w:p w14:paraId="668E25ED" w14:textId="77777777" w:rsidR="00D7657A" w:rsidRDefault="00D7657A" w:rsidP="00D7657A">
      <w:pPr>
        <w:jc w:val="both"/>
        <w:rPr>
          <w:rFonts w:ascii="Arial" w:hAnsi="Arial" w:cs="Arial"/>
          <w:lang w:val="es-ES_tradnl"/>
        </w:rPr>
      </w:pPr>
    </w:p>
    <w:p w14:paraId="095605D0" w14:textId="5FEAC1D4" w:rsidR="007C3D75" w:rsidRPr="00D7657A" w:rsidRDefault="00D7657A" w:rsidP="00D7657A">
      <w:pPr>
        <w:jc w:val="both"/>
        <w:rPr>
          <w:rFonts w:ascii="Arial" w:hAnsi="Arial" w:cs="Arial"/>
          <w:lang w:val="es-ES_tradnl"/>
        </w:rPr>
      </w:pPr>
      <w:r w:rsidRPr="00D7657A">
        <w:rPr>
          <w:rFonts w:ascii="Arial" w:hAnsi="Arial" w:cs="Arial"/>
          <w:lang w:val="es-ES_tradnl"/>
        </w:rPr>
        <w:t>Es</w:t>
      </w:r>
      <w:r w:rsidR="007C3D75" w:rsidRPr="00D7657A">
        <w:rPr>
          <w:rFonts w:ascii="Arial" w:hAnsi="Arial" w:cs="Arial"/>
          <w:lang w:val="es-ES_tradnl"/>
        </w:rPr>
        <w:t xml:space="preserve"> importante aclarar que los metros lineales adicionales generados durante la ejecución del proyecto son de responsabilidad del contratista. Durante la fase de alistamiento, el contratista debe encargarse del conteo preciso de folios, con el fin de convertirlos correctamente a metros lineales, teniendo en cuenta las especificaciones establecidas para los distintos tipos de expedientes. En particular, los expedientes correspondientes a registros de matrícula inmobiliaria presentan una equivalencia de 6.000 folios por metro lineal, mientras que los folios de matrícula inmobiliaria e índices cuentan con una equivalencia de 4.800 folios por metro lineal.</w:t>
      </w:r>
    </w:p>
    <w:p w14:paraId="4429C0BF" w14:textId="77777777" w:rsidR="007C3D75" w:rsidRPr="007C3D75" w:rsidRDefault="007C3D75" w:rsidP="007C3D75">
      <w:pPr>
        <w:jc w:val="both"/>
        <w:rPr>
          <w:rFonts w:ascii="Arial" w:hAnsi="Arial" w:cs="Arial"/>
          <w:lang w:val="es-ES_tradnl"/>
        </w:rPr>
      </w:pPr>
    </w:p>
    <w:p w14:paraId="4BACBFD5" w14:textId="10D44478" w:rsidR="007C3D75" w:rsidRDefault="007C3D75" w:rsidP="007C3D75">
      <w:pPr>
        <w:jc w:val="both"/>
        <w:rPr>
          <w:rFonts w:ascii="Arial" w:hAnsi="Arial" w:cs="Arial"/>
          <w:highlight w:val="yellow"/>
          <w:lang w:val="es-ES_tradnl"/>
        </w:rPr>
      </w:pPr>
      <w:r w:rsidRPr="007C3D75">
        <w:rPr>
          <w:rFonts w:ascii="Arial" w:hAnsi="Arial" w:cs="Arial"/>
          <w:lang w:val="es-ES_tradnl"/>
        </w:rPr>
        <w:t>No obstante, se informa que los metros lineales adicionales mencionados fueron entregados por el contratista sin generar costo alguno para la entidad, situación que queda debidamente respaldada por los informes de facturación correspondientes. Esto evidencia que, aunque la responsabilidad del conteo y conversión recaía sobre el contratista, la entidad no incurrió en gastos adicionales por dichos metros lineales, asegurando así la correcta gestión y control de los recursos involucrados en la ejecución del proyecto.</w:t>
      </w:r>
    </w:p>
    <w:p w14:paraId="14BA3854" w14:textId="77777777" w:rsidR="007C3D75" w:rsidRDefault="007C3D75" w:rsidP="002E7918">
      <w:pPr>
        <w:jc w:val="both"/>
        <w:rPr>
          <w:rFonts w:ascii="Arial" w:hAnsi="Arial" w:cs="Arial"/>
          <w:highlight w:val="yellow"/>
          <w:lang w:val="es-ES_tradnl"/>
        </w:rPr>
      </w:pPr>
    </w:p>
    <w:p w14:paraId="785394BD" w14:textId="441C5D49" w:rsidR="002E7918" w:rsidRDefault="00852D6B" w:rsidP="002E7918">
      <w:pPr>
        <w:jc w:val="both"/>
        <w:rPr>
          <w:rFonts w:ascii="Arial" w:hAnsi="Arial" w:cs="Arial"/>
          <w:lang w:val="es-ES_tradnl"/>
        </w:rPr>
      </w:pPr>
      <w:r>
        <w:rPr>
          <w:rFonts w:ascii="Arial" w:hAnsi="Arial" w:cs="Arial"/>
          <w:lang w:val="es-ES_tradnl"/>
        </w:rPr>
        <w:lastRenderedPageBreak/>
        <w:t>Con relación a este numeral y</w:t>
      </w:r>
      <w:r w:rsidRPr="00852D6B">
        <w:rPr>
          <w:rFonts w:ascii="Arial" w:hAnsi="Arial" w:cs="Arial"/>
          <w:lang w:val="es-ES_tradnl"/>
        </w:rPr>
        <w:t xml:space="preserve"> con base en lo documentado por la supervisión, la Entidad </w:t>
      </w:r>
      <w:r>
        <w:rPr>
          <w:rFonts w:ascii="Arial" w:hAnsi="Arial" w:cs="Arial"/>
          <w:lang w:val="es-ES_tradnl"/>
        </w:rPr>
        <w:t xml:space="preserve">se </w:t>
      </w:r>
      <w:r w:rsidRPr="00852D6B">
        <w:rPr>
          <w:rFonts w:ascii="Arial" w:hAnsi="Arial" w:cs="Arial"/>
          <w:lang w:val="es-ES_tradnl"/>
        </w:rPr>
        <w:t xml:space="preserve">concluye </w:t>
      </w:r>
      <w:r>
        <w:rPr>
          <w:rFonts w:ascii="Arial" w:hAnsi="Arial" w:cs="Arial"/>
          <w:lang w:val="es-ES_tradnl"/>
        </w:rPr>
        <w:t xml:space="preserve">para este numeral </w:t>
      </w:r>
      <w:r w:rsidRPr="00852D6B">
        <w:rPr>
          <w:rFonts w:ascii="Arial" w:hAnsi="Arial" w:cs="Arial"/>
          <w:lang w:val="es-ES_tradnl"/>
        </w:rPr>
        <w:t xml:space="preserve">que los hechos descritos por Nexura como “circunstancias ajenas” no se acreditan como eventos sobrevinientes que activen restablecimiento del equilibrio económico; por el contrario, </w:t>
      </w:r>
      <w:r>
        <w:rPr>
          <w:rFonts w:ascii="Arial" w:hAnsi="Arial" w:cs="Arial"/>
          <w:lang w:val="es-ES_tradnl"/>
        </w:rPr>
        <w:t>en los informes de supervisión técnicos publicados en la plataforma SECOP II y conceptos técnicos emitidos por los profesiones de apoyo a la supervisión</w:t>
      </w:r>
      <w:r w:rsidR="00690503">
        <w:rPr>
          <w:rFonts w:ascii="Arial" w:hAnsi="Arial" w:cs="Arial"/>
          <w:lang w:val="es-ES_tradnl"/>
        </w:rPr>
        <w:t>,</w:t>
      </w:r>
      <w:r>
        <w:rPr>
          <w:rFonts w:ascii="Arial" w:hAnsi="Arial" w:cs="Arial"/>
          <w:lang w:val="es-ES_tradnl"/>
        </w:rPr>
        <w:t xml:space="preserve"> se</w:t>
      </w:r>
      <w:r w:rsidRPr="00852D6B">
        <w:rPr>
          <w:rFonts w:ascii="Arial" w:hAnsi="Arial" w:cs="Arial"/>
          <w:lang w:val="es-ES_tradnl"/>
        </w:rPr>
        <w:t xml:space="preserve"> evidencia </w:t>
      </w:r>
      <w:r>
        <w:rPr>
          <w:rFonts w:ascii="Arial" w:hAnsi="Arial" w:cs="Arial"/>
          <w:lang w:val="es-ES_tradnl"/>
        </w:rPr>
        <w:t xml:space="preserve">presuntos </w:t>
      </w:r>
      <w:r w:rsidRPr="00852D6B">
        <w:rPr>
          <w:rFonts w:ascii="Arial" w:hAnsi="Arial" w:cs="Arial"/>
          <w:lang w:val="es-ES_tradnl"/>
        </w:rPr>
        <w:t>incumplimientos reiterados del contratista en cronogramas, entregas y requisitos técnicos, así como reprocesos derivados de inconsistencias detectadas en control de calidad</w:t>
      </w:r>
      <w:r w:rsidR="00690503">
        <w:rPr>
          <w:rFonts w:ascii="Arial" w:hAnsi="Arial" w:cs="Arial"/>
          <w:lang w:val="es-ES_tradnl"/>
        </w:rPr>
        <w:t>.</w:t>
      </w:r>
    </w:p>
    <w:p w14:paraId="5D06A207" w14:textId="77777777" w:rsidR="00E743F5" w:rsidRDefault="00E743F5" w:rsidP="002E7918">
      <w:pPr>
        <w:jc w:val="both"/>
        <w:rPr>
          <w:rFonts w:ascii="Arial" w:hAnsi="Arial" w:cs="Arial"/>
          <w:lang w:val="es-ES_tradnl"/>
        </w:rPr>
      </w:pPr>
    </w:p>
    <w:p w14:paraId="50FDD487" w14:textId="5A215B10" w:rsidR="00E743F5" w:rsidRPr="00E743F5" w:rsidRDefault="00E743F5" w:rsidP="00E743F5">
      <w:pPr>
        <w:pStyle w:val="Prrafodelista"/>
        <w:numPr>
          <w:ilvl w:val="0"/>
          <w:numId w:val="10"/>
        </w:numPr>
        <w:jc w:val="both"/>
        <w:rPr>
          <w:rFonts w:ascii="Arial" w:hAnsi="Arial" w:cs="Arial"/>
          <w:b/>
          <w:bCs/>
          <w:lang w:val="es-ES_tradnl"/>
        </w:rPr>
      </w:pPr>
      <w:r w:rsidRPr="00E743F5">
        <w:rPr>
          <w:rFonts w:ascii="Arial" w:hAnsi="Arial" w:cs="Arial"/>
          <w:b/>
          <w:bCs/>
        </w:rPr>
        <w:t>MATERIALIZACIÓN DE LOS RIESGOS CONTRACTUALES QUE ROMPEN EL EQUILIBRIO ECONÓMICO DEL CONTRATO</w:t>
      </w:r>
    </w:p>
    <w:p w14:paraId="3A1B416B" w14:textId="77777777" w:rsidR="00D7657A" w:rsidRPr="00D7657A" w:rsidRDefault="00D7657A" w:rsidP="002E7918">
      <w:pPr>
        <w:jc w:val="both"/>
        <w:rPr>
          <w:rFonts w:ascii="Arial" w:hAnsi="Arial" w:cs="Arial"/>
          <w:b/>
          <w:bCs/>
          <w:lang w:val="es-ES_tradnl"/>
        </w:rPr>
      </w:pPr>
    </w:p>
    <w:p w14:paraId="70D7B735" w14:textId="00704FE8" w:rsidR="00E743F5" w:rsidRDefault="00F75878" w:rsidP="00F75878">
      <w:pPr>
        <w:jc w:val="both"/>
        <w:rPr>
          <w:rFonts w:ascii="Arial" w:hAnsi="Arial" w:cs="Arial"/>
          <w:b/>
          <w:bCs/>
          <w:lang w:val="es-ES_tradnl"/>
        </w:rPr>
      </w:pPr>
      <w:r w:rsidRPr="00E743F5">
        <w:rPr>
          <w:rFonts w:ascii="Arial" w:hAnsi="Arial" w:cs="Arial"/>
          <w:b/>
          <w:bCs/>
          <w:highlight w:val="yellow"/>
          <w:lang w:val="es-ES_tradnl"/>
        </w:rPr>
        <w:t xml:space="preserve">¿Queremos verificar con la matriz de riesgo de la entidad o del proyecto es posible </w:t>
      </w:r>
      <w:proofErr w:type="spellStart"/>
      <w:r w:rsidRPr="00E743F5">
        <w:rPr>
          <w:rFonts w:ascii="Arial" w:hAnsi="Arial" w:cs="Arial"/>
          <w:b/>
          <w:bCs/>
          <w:highlight w:val="yellow"/>
          <w:lang w:val="es-ES_tradnl"/>
        </w:rPr>
        <w:t>el</w:t>
      </w:r>
      <w:proofErr w:type="spellEnd"/>
      <w:r w:rsidRPr="00E743F5">
        <w:rPr>
          <w:rFonts w:ascii="Arial" w:hAnsi="Arial" w:cs="Arial"/>
          <w:b/>
          <w:bCs/>
          <w:highlight w:val="yellow"/>
          <w:lang w:val="es-ES_tradnl"/>
        </w:rPr>
        <w:t xml:space="preserve"> envió?</w:t>
      </w:r>
    </w:p>
    <w:p w14:paraId="6F9831AA" w14:textId="77777777" w:rsidR="00E743F5" w:rsidRDefault="00E743F5" w:rsidP="00D7657A">
      <w:pPr>
        <w:ind w:firstLine="708"/>
        <w:jc w:val="both"/>
        <w:rPr>
          <w:rFonts w:ascii="Arial" w:hAnsi="Arial" w:cs="Arial"/>
          <w:b/>
          <w:bCs/>
          <w:lang w:val="es-ES_tradnl"/>
        </w:rPr>
      </w:pPr>
    </w:p>
    <w:p w14:paraId="0B0FD25D" w14:textId="79186932" w:rsidR="00D7657A" w:rsidRPr="00D7657A" w:rsidRDefault="00D7657A" w:rsidP="00D7657A">
      <w:pPr>
        <w:ind w:firstLine="708"/>
        <w:jc w:val="both"/>
        <w:rPr>
          <w:rFonts w:ascii="Arial" w:hAnsi="Arial" w:cs="Arial"/>
          <w:b/>
          <w:bCs/>
          <w:lang w:val="es-ES_tradnl"/>
        </w:rPr>
      </w:pPr>
      <w:r w:rsidRPr="00D7657A">
        <w:rPr>
          <w:rFonts w:ascii="Arial" w:hAnsi="Arial" w:cs="Arial"/>
          <w:b/>
          <w:bCs/>
          <w:lang w:val="es-ES_tradnl"/>
        </w:rPr>
        <w:t>Conclusi</w:t>
      </w:r>
      <w:r w:rsidR="00E743F5">
        <w:rPr>
          <w:rFonts w:ascii="Arial" w:hAnsi="Arial" w:cs="Arial"/>
          <w:b/>
          <w:bCs/>
          <w:lang w:val="es-ES_tradnl"/>
        </w:rPr>
        <w:t>ones</w:t>
      </w:r>
      <w:r w:rsidRPr="00D7657A">
        <w:rPr>
          <w:rFonts w:ascii="Arial" w:hAnsi="Arial" w:cs="Arial"/>
          <w:b/>
          <w:bCs/>
          <w:lang w:val="es-ES_tradnl"/>
        </w:rPr>
        <w:t>.</w:t>
      </w:r>
    </w:p>
    <w:p w14:paraId="46633EF1" w14:textId="683E1349" w:rsidR="00D7657A" w:rsidRDefault="00D7657A" w:rsidP="00D7657A">
      <w:pPr>
        <w:jc w:val="both"/>
        <w:rPr>
          <w:rFonts w:ascii="Arial" w:hAnsi="Arial" w:cs="Arial"/>
          <w:b/>
          <w:bCs/>
          <w:lang w:val="es-CO"/>
        </w:rPr>
      </w:pPr>
      <w:r>
        <w:rPr>
          <w:rFonts w:ascii="Arial" w:hAnsi="Arial" w:cs="Arial"/>
          <w:b/>
          <w:bCs/>
          <w:lang w:val="es-CO"/>
        </w:rPr>
        <w:tab/>
      </w:r>
    </w:p>
    <w:p w14:paraId="27BB68A9" w14:textId="075E43FF" w:rsidR="00D7657A" w:rsidRDefault="00D7657A" w:rsidP="00D7657A">
      <w:pPr>
        <w:jc w:val="both"/>
        <w:rPr>
          <w:rFonts w:ascii="Arial" w:hAnsi="Arial" w:cs="Arial"/>
          <w:lang w:val="es-CO"/>
        </w:rPr>
      </w:pPr>
      <w:r w:rsidRPr="00D7657A">
        <w:rPr>
          <w:rFonts w:ascii="Arial" w:hAnsi="Arial" w:cs="Arial"/>
          <w:lang w:val="es-CO"/>
        </w:rPr>
        <w:t xml:space="preserve">Con base en lo documentado por la supervisión contractual, los informes técnicos publicados en SECOP II y el informe de presunto incumplimiento, los hechos descritos por </w:t>
      </w:r>
      <w:proofErr w:type="spellStart"/>
      <w:r w:rsidRPr="00D7657A">
        <w:rPr>
          <w:rFonts w:ascii="Arial" w:hAnsi="Arial" w:cs="Arial"/>
          <w:lang w:val="es-CO"/>
        </w:rPr>
        <w:t>Nexura</w:t>
      </w:r>
      <w:proofErr w:type="spellEnd"/>
      <w:r w:rsidRPr="00D7657A">
        <w:rPr>
          <w:rFonts w:ascii="Arial" w:hAnsi="Arial" w:cs="Arial"/>
          <w:lang w:val="es-CO"/>
        </w:rPr>
        <w:t xml:space="preserve"> Internacional S.A.S. como “circunstancias ajenas” no se acreditan como eventos sobrevinientes que activen el restablecimiento del equilibrio económico.</w:t>
      </w:r>
    </w:p>
    <w:p w14:paraId="5630F491" w14:textId="77777777" w:rsidR="00D7657A" w:rsidRPr="00D7657A" w:rsidRDefault="00D7657A" w:rsidP="00D7657A">
      <w:pPr>
        <w:jc w:val="both"/>
        <w:rPr>
          <w:rFonts w:ascii="Arial" w:hAnsi="Arial" w:cs="Arial"/>
          <w:lang w:val="es-CO"/>
        </w:rPr>
      </w:pPr>
    </w:p>
    <w:p w14:paraId="5BAAD803" w14:textId="77777777" w:rsidR="00D7657A" w:rsidRPr="00D7657A" w:rsidRDefault="00D7657A" w:rsidP="00D7657A">
      <w:pPr>
        <w:jc w:val="both"/>
        <w:rPr>
          <w:rFonts w:ascii="Arial" w:hAnsi="Arial" w:cs="Arial"/>
          <w:lang w:val="es-CO"/>
        </w:rPr>
      </w:pPr>
      <w:r w:rsidRPr="00D7657A">
        <w:rPr>
          <w:rFonts w:ascii="Arial" w:hAnsi="Arial" w:cs="Arial"/>
          <w:lang w:val="es-CO"/>
        </w:rPr>
        <w:t>Por el contrario, se evidencian presuntos incumplimientos reiterados en cronogramas, entregas y requisitos técnicos, así como reprocesos derivados de inconsistencias detectadas en control de calidad, circunstancias imputables al contratista.</w:t>
      </w:r>
    </w:p>
    <w:p w14:paraId="5F376DAE" w14:textId="02572E34" w:rsidR="00D7657A" w:rsidRDefault="00D7657A" w:rsidP="002E7918">
      <w:pPr>
        <w:jc w:val="both"/>
        <w:rPr>
          <w:rFonts w:ascii="Arial" w:hAnsi="Arial" w:cs="Arial"/>
          <w:lang w:val="es-CO"/>
        </w:rPr>
      </w:pPr>
    </w:p>
    <w:p w14:paraId="6B2CD346" w14:textId="45F344C5" w:rsidR="00E743F5" w:rsidRDefault="00E743F5" w:rsidP="002E7918">
      <w:pPr>
        <w:jc w:val="both"/>
        <w:rPr>
          <w:rFonts w:ascii="Arial" w:hAnsi="Arial" w:cs="Arial"/>
          <w:lang w:val="es-CO"/>
        </w:rPr>
      </w:pPr>
      <w:r w:rsidRPr="00E743F5">
        <w:rPr>
          <w:rFonts w:ascii="Arial" w:hAnsi="Arial" w:cs="Arial"/>
          <w:lang w:val="es-CO"/>
        </w:rPr>
        <w:t>En el marco de la ejecución del Contrato de Prestación de Servicios No. 2063 de 2024 y como consecuencia de la extensión de su plazo de ejecución hacia la vigencia 2025, la Superintendencia de Notariado y Registro – SNR debió realizar ajustes operativos y administrativos en su planeación institucional y en la programación de actividades asociadas al cumplimiento de los objetivos de la vigencia 2025, lo cual implicó el fortalecimiento temporal del recurso humano, tanto profesional como técnico, destinado a las labores de apoyo a la supervisión, acompañamiento y control de calidad del contrato. Dichas actuaciones tuvieron como finalidad exclusiva apoyar la adecuada ejecución del contrato por parte del proveedor, garantizar el cumplimiento de los estándares técnicos y archivísticos exigidos y, de manera prioritaria, salvaguardar la integridad, conservación y protección del patrimonio documental de la Entidad, sin que ello implique reconocimiento de responsabilidad contractual ni alteración de la ecuación económica inicialmente pactada.</w:t>
      </w:r>
    </w:p>
    <w:p w14:paraId="45D4534F" w14:textId="77777777" w:rsidR="00D7657A" w:rsidRPr="00D7657A" w:rsidRDefault="00D7657A" w:rsidP="002E7918">
      <w:pPr>
        <w:jc w:val="both"/>
        <w:rPr>
          <w:rFonts w:ascii="Arial" w:hAnsi="Arial" w:cs="Arial"/>
          <w:b/>
          <w:bCs/>
          <w:lang w:val="es-CO"/>
        </w:rPr>
      </w:pPr>
    </w:p>
    <w:p w14:paraId="21E49BE6" w14:textId="18440C0D" w:rsidR="00D7657A" w:rsidRDefault="00D7657A" w:rsidP="002E7918">
      <w:pPr>
        <w:jc w:val="both"/>
        <w:rPr>
          <w:rFonts w:ascii="Arial" w:hAnsi="Arial" w:cs="Arial"/>
          <w:b/>
          <w:bCs/>
          <w:lang w:val="es-CO"/>
        </w:rPr>
      </w:pPr>
      <w:r w:rsidRPr="00D7657A">
        <w:rPr>
          <w:rFonts w:ascii="Arial" w:hAnsi="Arial" w:cs="Arial"/>
          <w:b/>
          <w:bCs/>
          <w:lang w:val="es-CO"/>
        </w:rPr>
        <w:t xml:space="preserve">ANEXOS </w:t>
      </w:r>
    </w:p>
    <w:p w14:paraId="75106567" w14:textId="77777777" w:rsidR="00E743F5" w:rsidRDefault="00E743F5" w:rsidP="002E7918">
      <w:pPr>
        <w:jc w:val="both"/>
        <w:rPr>
          <w:rFonts w:ascii="Arial" w:hAnsi="Arial" w:cs="Arial"/>
          <w:b/>
          <w:bCs/>
          <w:lang w:val="es-CO"/>
        </w:rPr>
      </w:pPr>
    </w:p>
    <w:p w14:paraId="4C57B9CC" w14:textId="1DC53770" w:rsidR="00E743F5" w:rsidRPr="00E743F5" w:rsidRDefault="00E743F5" w:rsidP="002E7918">
      <w:pPr>
        <w:jc w:val="both"/>
        <w:rPr>
          <w:rFonts w:ascii="Arial" w:hAnsi="Arial" w:cs="Arial"/>
          <w:lang w:val="es-CO"/>
        </w:rPr>
      </w:pPr>
      <w:r w:rsidRPr="00E743F5">
        <w:rPr>
          <w:rFonts w:ascii="Arial" w:hAnsi="Arial" w:cs="Arial"/>
          <w:lang w:val="es-CO"/>
        </w:rPr>
        <w:t>Pendiente del detalle</w:t>
      </w:r>
      <w:r w:rsidR="00F75878">
        <w:rPr>
          <w:rFonts w:ascii="Arial" w:hAnsi="Arial" w:cs="Arial"/>
          <w:lang w:val="es-CO"/>
        </w:rPr>
        <w:t xml:space="preserve"> de cada anexo.</w:t>
      </w:r>
    </w:p>
    <w:p w14:paraId="3CF0A8F0" w14:textId="77777777" w:rsidR="00E743F5" w:rsidRDefault="00E743F5" w:rsidP="002E7918">
      <w:pPr>
        <w:jc w:val="both"/>
        <w:rPr>
          <w:rFonts w:ascii="Arial" w:hAnsi="Arial" w:cs="Arial"/>
          <w:b/>
          <w:bCs/>
          <w:lang w:val="es-CO"/>
        </w:rPr>
      </w:pPr>
    </w:p>
    <w:p w14:paraId="09022371" w14:textId="34A08C36" w:rsidR="00E743F5" w:rsidRDefault="00E743F5" w:rsidP="00E743F5">
      <w:pPr>
        <w:pStyle w:val="Prrafodelista"/>
        <w:numPr>
          <w:ilvl w:val="0"/>
          <w:numId w:val="11"/>
        </w:numPr>
        <w:jc w:val="both"/>
        <w:rPr>
          <w:rFonts w:ascii="Arial" w:hAnsi="Arial" w:cs="Arial"/>
          <w:lang w:val="es-CO"/>
        </w:rPr>
      </w:pPr>
      <w:r w:rsidRPr="00E743F5">
        <w:rPr>
          <w:rFonts w:ascii="Arial" w:hAnsi="Arial" w:cs="Arial"/>
          <w:lang w:val="es-CO"/>
        </w:rPr>
        <w:t>Pliego de condiciones</w:t>
      </w:r>
    </w:p>
    <w:p w14:paraId="5278E18D" w14:textId="1CB0E4C2" w:rsidR="00E743F5" w:rsidRDefault="00E743F5" w:rsidP="00E743F5">
      <w:pPr>
        <w:pStyle w:val="Prrafodelista"/>
        <w:numPr>
          <w:ilvl w:val="0"/>
          <w:numId w:val="11"/>
        </w:numPr>
        <w:jc w:val="both"/>
        <w:rPr>
          <w:rFonts w:ascii="Arial" w:hAnsi="Arial" w:cs="Arial"/>
          <w:lang w:val="es-CO"/>
        </w:rPr>
      </w:pPr>
      <w:r>
        <w:rPr>
          <w:rFonts w:ascii="Arial" w:hAnsi="Arial" w:cs="Arial"/>
          <w:lang w:val="es-CO"/>
        </w:rPr>
        <w:t>Informes mensuales.</w:t>
      </w:r>
    </w:p>
    <w:p w14:paraId="673D7E09" w14:textId="5CA93E1F" w:rsidR="00E743F5" w:rsidRPr="00E743F5" w:rsidRDefault="00E743F5" w:rsidP="00E743F5">
      <w:pPr>
        <w:pStyle w:val="Prrafodelista"/>
        <w:numPr>
          <w:ilvl w:val="0"/>
          <w:numId w:val="11"/>
        </w:numPr>
        <w:jc w:val="both"/>
        <w:rPr>
          <w:rFonts w:ascii="Arial" w:hAnsi="Arial" w:cs="Arial"/>
          <w:lang w:val="es-CO"/>
        </w:rPr>
      </w:pPr>
      <w:r>
        <w:rPr>
          <w:rFonts w:ascii="Arial" w:hAnsi="Arial" w:cs="Arial"/>
          <w:lang w:val="es-CO"/>
        </w:rPr>
        <w:lastRenderedPageBreak/>
        <w:t xml:space="preserve">Actas de </w:t>
      </w:r>
      <w:r w:rsidR="00F75878">
        <w:rPr>
          <w:rFonts w:ascii="Arial" w:hAnsi="Arial" w:cs="Arial"/>
          <w:lang w:val="es-CO"/>
        </w:rPr>
        <w:t>reunión</w:t>
      </w:r>
    </w:p>
    <w:p w14:paraId="5D3CAEB4" w14:textId="77777777" w:rsidR="00D7657A" w:rsidRPr="00D7657A" w:rsidRDefault="00D7657A" w:rsidP="002E7918">
      <w:pPr>
        <w:jc w:val="both"/>
        <w:rPr>
          <w:rFonts w:ascii="Arial" w:hAnsi="Arial" w:cs="Arial"/>
          <w:b/>
          <w:bCs/>
        </w:rPr>
      </w:pPr>
    </w:p>
    <w:sectPr w:rsidR="00D7657A" w:rsidRPr="00D765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503D"/>
    <w:multiLevelType w:val="multilevel"/>
    <w:tmpl w:val="DE6E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44645"/>
    <w:multiLevelType w:val="hybridMultilevel"/>
    <w:tmpl w:val="F11687E6"/>
    <w:lvl w:ilvl="0" w:tplc="514E8F1A">
      <w:start w:val="3"/>
      <w:numFmt w:val="bullet"/>
      <w:lvlText w:val="•"/>
      <w:lvlJc w:val="left"/>
      <w:pPr>
        <w:ind w:left="1420" w:hanging="72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AF05949"/>
    <w:multiLevelType w:val="hybridMultilevel"/>
    <w:tmpl w:val="75ACA5C6"/>
    <w:lvl w:ilvl="0" w:tplc="25882EF2">
      <w:start w:val="1"/>
      <w:numFmt w:val="decimal"/>
      <w:lvlText w:val="%1)"/>
      <w:lvlJc w:val="left"/>
      <w:pPr>
        <w:ind w:left="1060" w:hanging="70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0E5172CC"/>
    <w:multiLevelType w:val="hybridMultilevel"/>
    <w:tmpl w:val="8FE02D9C"/>
    <w:lvl w:ilvl="0" w:tplc="1B2EF556">
      <w:start w:val="1"/>
      <w:numFmt w:val="upperRoman"/>
      <w:lvlText w:val="%1."/>
      <w:lvlJc w:val="left"/>
      <w:pPr>
        <w:ind w:left="1080" w:hanging="720"/>
      </w:pPr>
      <w:rPr>
        <w:rFonts w:hint="default"/>
        <w:b/>
        <w:i/>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2F338A9"/>
    <w:multiLevelType w:val="hybridMultilevel"/>
    <w:tmpl w:val="7C44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543A4C"/>
    <w:multiLevelType w:val="hybridMultilevel"/>
    <w:tmpl w:val="6D68C240"/>
    <w:lvl w:ilvl="0" w:tplc="514E8F1A">
      <w:start w:val="3"/>
      <w:numFmt w:val="bullet"/>
      <w:lvlText w:val="•"/>
      <w:lvlJc w:val="left"/>
      <w:pPr>
        <w:ind w:left="1420" w:hanging="72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19811CD4"/>
    <w:multiLevelType w:val="hybridMultilevel"/>
    <w:tmpl w:val="E0862FF2"/>
    <w:lvl w:ilvl="0" w:tplc="5E925F1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947DB5"/>
    <w:multiLevelType w:val="multilevel"/>
    <w:tmpl w:val="D588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790442"/>
    <w:multiLevelType w:val="hybridMultilevel"/>
    <w:tmpl w:val="266C59CE"/>
    <w:lvl w:ilvl="0" w:tplc="76B6B97A">
      <w:numFmt w:val="bullet"/>
      <w:lvlText w:val="•"/>
      <w:lvlJc w:val="left"/>
      <w:pPr>
        <w:ind w:left="720" w:hanging="360"/>
      </w:pPr>
      <w:rPr>
        <w:rFonts w:ascii="Arial" w:eastAsiaTheme="minorHAnsi"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46833AA"/>
    <w:multiLevelType w:val="hybridMultilevel"/>
    <w:tmpl w:val="61E615BC"/>
    <w:lvl w:ilvl="0" w:tplc="514E8F1A">
      <w:start w:val="3"/>
      <w:numFmt w:val="bullet"/>
      <w:lvlText w:val="•"/>
      <w:lvlJc w:val="left"/>
      <w:pPr>
        <w:ind w:left="720" w:hanging="720"/>
      </w:pPr>
      <w:rPr>
        <w:rFonts w:ascii="Arial" w:eastAsia="Times New Roman" w:hAnsi="Arial" w:cs="Aria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0" w15:restartNumberingAfterBreak="0">
    <w:nsid w:val="45980F3C"/>
    <w:multiLevelType w:val="hybridMultilevel"/>
    <w:tmpl w:val="33C0CF06"/>
    <w:lvl w:ilvl="0" w:tplc="D062D5E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69872B2"/>
    <w:multiLevelType w:val="hybridMultilevel"/>
    <w:tmpl w:val="9A76245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4B983A3A"/>
    <w:multiLevelType w:val="hybridMultilevel"/>
    <w:tmpl w:val="7C44DC4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413941885">
    <w:abstractNumId w:val="8"/>
  </w:num>
  <w:num w:numId="2" w16cid:durableId="824127928">
    <w:abstractNumId w:val="9"/>
  </w:num>
  <w:num w:numId="3" w16cid:durableId="681207304">
    <w:abstractNumId w:val="1"/>
  </w:num>
  <w:num w:numId="4" w16cid:durableId="1828933433">
    <w:abstractNumId w:val="5"/>
  </w:num>
  <w:num w:numId="5" w16cid:durableId="427577182">
    <w:abstractNumId w:val="2"/>
  </w:num>
  <w:num w:numId="6" w16cid:durableId="1580365873">
    <w:abstractNumId w:val="11"/>
  </w:num>
  <w:num w:numId="7" w16cid:durableId="1133451900">
    <w:abstractNumId w:val="12"/>
  </w:num>
  <w:num w:numId="8" w16cid:durableId="2119983884">
    <w:abstractNumId w:val="3"/>
  </w:num>
  <w:num w:numId="9" w16cid:durableId="2026974922">
    <w:abstractNumId w:val="4"/>
  </w:num>
  <w:num w:numId="10" w16cid:durableId="973558580">
    <w:abstractNumId w:val="6"/>
  </w:num>
  <w:num w:numId="11" w16cid:durableId="1050223324">
    <w:abstractNumId w:val="0"/>
  </w:num>
  <w:num w:numId="12" w16cid:durableId="1057048690">
    <w:abstractNumId w:val="10"/>
  </w:num>
  <w:num w:numId="13" w16cid:durableId="19534403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08D"/>
    <w:rsid w:val="0019465A"/>
    <w:rsid w:val="001B4023"/>
    <w:rsid w:val="002D41C5"/>
    <w:rsid w:val="002E7918"/>
    <w:rsid w:val="00457063"/>
    <w:rsid w:val="004A651F"/>
    <w:rsid w:val="004B5A8E"/>
    <w:rsid w:val="005535AD"/>
    <w:rsid w:val="00607B50"/>
    <w:rsid w:val="00612D9A"/>
    <w:rsid w:val="006308D7"/>
    <w:rsid w:val="00690503"/>
    <w:rsid w:val="0074044E"/>
    <w:rsid w:val="007C3D75"/>
    <w:rsid w:val="00812425"/>
    <w:rsid w:val="00852D6B"/>
    <w:rsid w:val="00A14826"/>
    <w:rsid w:val="00A32AA6"/>
    <w:rsid w:val="00A84DB9"/>
    <w:rsid w:val="00A92190"/>
    <w:rsid w:val="00AA708D"/>
    <w:rsid w:val="00AD5F5C"/>
    <w:rsid w:val="00AE7B95"/>
    <w:rsid w:val="00B34A9D"/>
    <w:rsid w:val="00B96678"/>
    <w:rsid w:val="00BD655A"/>
    <w:rsid w:val="00D7657A"/>
    <w:rsid w:val="00E1698E"/>
    <w:rsid w:val="00E26109"/>
    <w:rsid w:val="00E743F5"/>
    <w:rsid w:val="00EA34C7"/>
    <w:rsid w:val="00EF28C2"/>
    <w:rsid w:val="00F0720B"/>
    <w:rsid w:val="00F560DF"/>
    <w:rsid w:val="00F75878"/>
    <w:rsid w:val="00F77F4A"/>
    <w:rsid w:val="00FA12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B75B9"/>
  <w15:chartTrackingRefBased/>
  <w15:docId w15:val="{A50D8584-72A2-EB4D-9A59-0DA8C9100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A70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A70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A708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A708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A708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A708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A708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A708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A708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A708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A708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A708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A708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A708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A7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A7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A7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A708D"/>
    <w:rPr>
      <w:rFonts w:eastAsiaTheme="majorEastAsia" w:cstheme="majorBidi"/>
      <w:color w:val="272727" w:themeColor="text1" w:themeTint="D8"/>
    </w:rPr>
  </w:style>
  <w:style w:type="paragraph" w:styleId="Ttulo">
    <w:name w:val="Title"/>
    <w:basedOn w:val="Normal"/>
    <w:next w:val="Normal"/>
    <w:link w:val="TtuloCar"/>
    <w:uiPriority w:val="10"/>
    <w:qFormat/>
    <w:rsid w:val="00AA708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7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A708D"/>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A7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A708D"/>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AA708D"/>
    <w:rPr>
      <w:i/>
      <w:iCs/>
      <w:color w:val="404040" w:themeColor="text1" w:themeTint="BF"/>
    </w:rPr>
  </w:style>
  <w:style w:type="paragraph" w:styleId="Prrafodelista">
    <w:name w:val="List Paragraph"/>
    <w:basedOn w:val="Normal"/>
    <w:uiPriority w:val="34"/>
    <w:qFormat/>
    <w:rsid w:val="00AA708D"/>
    <w:pPr>
      <w:ind w:left="720"/>
      <w:contextualSpacing/>
    </w:pPr>
  </w:style>
  <w:style w:type="character" w:styleId="nfasisintenso">
    <w:name w:val="Intense Emphasis"/>
    <w:basedOn w:val="Fuentedeprrafopredeter"/>
    <w:uiPriority w:val="21"/>
    <w:qFormat/>
    <w:rsid w:val="00AA708D"/>
    <w:rPr>
      <w:i/>
      <w:iCs/>
      <w:color w:val="0F4761" w:themeColor="accent1" w:themeShade="BF"/>
    </w:rPr>
  </w:style>
  <w:style w:type="paragraph" w:styleId="Citadestacada">
    <w:name w:val="Intense Quote"/>
    <w:basedOn w:val="Normal"/>
    <w:next w:val="Normal"/>
    <w:link w:val="CitadestacadaCar"/>
    <w:uiPriority w:val="30"/>
    <w:qFormat/>
    <w:rsid w:val="00AA70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A708D"/>
    <w:rPr>
      <w:i/>
      <w:iCs/>
      <w:color w:val="0F4761" w:themeColor="accent1" w:themeShade="BF"/>
    </w:rPr>
  </w:style>
  <w:style w:type="character" w:styleId="Referenciaintensa">
    <w:name w:val="Intense Reference"/>
    <w:basedOn w:val="Fuentedeprrafopredeter"/>
    <w:uiPriority w:val="32"/>
    <w:qFormat/>
    <w:rsid w:val="00AA708D"/>
    <w:rPr>
      <w:b/>
      <w:bCs/>
      <w:smallCaps/>
      <w:color w:val="0F4761" w:themeColor="accent1" w:themeShade="BF"/>
      <w:spacing w:val="5"/>
    </w:rPr>
  </w:style>
  <w:style w:type="paragraph" w:customStyle="1" w:styleId="p1">
    <w:name w:val="p1"/>
    <w:basedOn w:val="Normal"/>
    <w:rsid w:val="00AA708D"/>
    <w:pPr>
      <w:spacing w:before="100" w:beforeAutospacing="1" w:after="100" w:afterAutospacing="1"/>
    </w:pPr>
    <w:rPr>
      <w:rFonts w:ascii="Times New Roman" w:eastAsia="Times New Roman" w:hAnsi="Times New Roman" w:cs="Times New Roman"/>
      <w:kern w:val="0"/>
      <w:lang w:eastAsia="es-ES_tradnl"/>
      <w14:ligatures w14:val="none"/>
    </w:rPr>
  </w:style>
  <w:style w:type="character" w:customStyle="1" w:styleId="s1">
    <w:name w:val="s1"/>
    <w:basedOn w:val="Fuentedeprrafopredeter"/>
    <w:rsid w:val="00AA708D"/>
  </w:style>
  <w:style w:type="paragraph" w:customStyle="1" w:styleId="p2">
    <w:name w:val="p2"/>
    <w:basedOn w:val="Normal"/>
    <w:rsid w:val="00AA708D"/>
    <w:pPr>
      <w:spacing w:before="100" w:beforeAutospacing="1" w:after="100" w:afterAutospacing="1"/>
    </w:pPr>
    <w:rPr>
      <w:rFonts w:ascii="Times New Roman" w:eastAsia="Times New Roman" w:hAnsi="Times New Roman" w:cs="Times New Roman"/>
      <w:kern w:val="0"/>
      <w:lang w:eastAsia="es-ES_tradnl"/>
      <w14:ligatures w14:val="none"/>
    </w:rPr>
  </w:style>
  <w:style w:type="paragraph" w:styleId="NormalWeb">
    <w:name w:val="Normal (Web)"/>
    <w:basedOn w:val="Normal"/>
    <w:uiPriority w:val="99"/>
    <w:unhideWhenUsed/>
    <w:rsid w:val="00A14826"/>
    <w:pPr>
      <w:spacing w:before="100" w:beforeAutospacing="1" w:after="100" w:afterAutospacing="1"/>
    </w:pPr>
    <w:rPr>
      <w:rFonts w:ascii="Times New Roman" w:eastAsia="Times New Roman" w:hAnsi="Times New Roman" w:cs="Times New Roman"/>
      <w:kern w:val="0"/>
      <w:lang w:val="es-CO" w:eastAsia="es-CO"/>
      <w14:ligatures w14:val="none"/>
    </w:rPr>
  </w:style>
  <w:style w:type="character" w:styleId="Fuerte">
    <w:name w:val="Strong"/>
    <w:basedOn w:val="Fuentedeprrafopredeter"/>
    <w:uiPriority w:val="22"/>
    <w:qFormat/>
    <w:rsid w:val="00A14826"/>
    <w:rPr>
      <w:b/>
      <w:bCs/>
    </w:rPr>
  </w:style>
  <w:style w:type="paragraph" w:customStyle="1" w:styleId="isselectedend">
    <w:name w:val="isselectedend"/>
    <w:basedOn w:val="Normal"/>
    <w:rsid w:val="00FA125C"/>
    <w:pPr>
      <w:spacing w:before="100" w:beforeAutospacing="1" w:after="100" w:afterAutospacing="1"/>
    </w:pPr>
    <w:rPr>
      <w:rFonts w:ascii="Times New Roman" w:eastAsia="Times New Roman" w:hAnsi="Times New Roman" w:cs="Times New Roman"/>
      <w:kern w:val="0"/>
      <w:lang w:val="es-CO" w:eastAsia="es-CO"/>
      <w14:ligatures w14:val="none"/>
    </w:rPr>
  </w:style>
  <w:style w:type="character" w:styleId="nfasis">
    <w:name w:val="Emphasis"/>
    <w:basedOn w:val="Fuentedeprrafopredeter"/>
    <w:uiPriority w:val="20"/>
    <w:qFormat/>
    <w:rsid w:val="00AD5F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3577</Words>
  <Characters>19676</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Andres Rincon Hernandez</dc:creator>
  <cp:keywords/>
  <dc:description/>
  <cp:lastModifiedBy>K Camacho</cp:lastModifiedBy>
  <cp:revision>2</cp:revision>
  <dcterms:created xsi:type="dcterms:W3CDTF">2026-01-29T14:45:00Z</dcterms:created>
  <dcterms:modified xsi:type="dcterms:W3CDTF">2026-01-29T14:45:00Z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2026-01-23T16:15:59Z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35fa6de1-c82e-490a-8469-57e8e6dac5e5</vt:lpwstr>
  </property>
  <property fmtid="{D5CDD505-2E9C-101B-9397-08002B2CF9AE}" pid="8" name="MSIP_Label_821ec8a6-bbee-4b40-bdc1-9f8ab4bf789f_ContentBits">
    <vt:lpwstr>0</vt:lpwstr>
  </property>
  <property fmtid="{D5CDD505-2E9C-101B-9397-08002B2CF9AE}" pid="9" name="MSIP_Label_821ec8a6-bbee-4b40-bdc1-9f8ab4bf789f_Tag">
    <vt:lpwstr>50, 3, 0, 1</vt:lpwstr>
  </property>
</Properties>
</file>